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34" w:rsidRDefault="008913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334" w:rsidRDefault="00D340CD">
      <w:pPr>
        <w:spacing w:after="0" w:line="240" w:lineRule="auto"/>
        <w:ind w:left="5660" w:firstLine="7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891334" w:rsidRDefault="00D340CD">
      <w:pPr>
        <w:spacing w:after="0" w:line="240" w:lineRule="auto"/>
        <w:ind w:left="5660" w:firstLine="7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891334" w:rsidRDefault="00D340CD">
      <w:pPr>
        <w:spacing w:after="0" w:line="240" w:lineRule="auto"/>
        <w:ind w:left="566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891334" w:rsidRDefault="00D340CD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891334" w:rsidRDefault="00891334">
      <w:pPr>
        <w:spacing w:after="0" w:line="240" w:lineRule="auto"/>
        <w:ind w:left="885"/>
        <w:jc w:val="center"/>
        <w:rPr>
          <w:rFonts w:ascii="Times New Roman" w:hAnsi="Times New Roman"/>
          <w:sz w:val="24"/>
          <w:szCs w:val="24"/>
        </w:rPr>
      </w:pPr>
    </w:p>
    <w:tbl>
      <w:tblPr>
        <w:tblW w:w="9619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485"/>
        <w:gridCol w:w="2273"/>
        <w:gridCol w:w="6861"/>
      </w:tblGrid>
      <w:tr w:rsidR="00891334">
        <w:trPr>
          <w:trHeight w:val="690"/>
          <w:jc w:val="center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1334" w:rsidRDefault="00D340CD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1334" w:rsidRDefault="00D340CD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1334" w:rsidRDefault="00D340CD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 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інформація,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ідтверджують відповідність Учасника кваліфікаційним критеріям**</w:t>
            </w:r>
          </w:p>
        </w:tc>
      </w:tr>
      <w:tr w:rsidR="00891334">
        <w:trPr>
          <w:trHeight w:val="2855"/>
          <w:jc w:val="center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334" w:rsidRDefault="00D340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334" w:rsidRDefault="00D3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334" w:rsidRDefault="0089133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highlight w:val="yellow"/>
              </w:rPr>
            </w:pPr>
          </w:p>
          <w:p w:rsidR="00891334" w:rsidRDefault="00D340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ідтвердження досвіду виконання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 за предметом закупівлі договору Учасник має надати:</w:t>
            </w:r>
          </w:p>
          <w:p w:rsidR="00891334" w:rsidRDefault="00D340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 довідку в довільній формі, з інформацією про виконання  аналогічного  за предметом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договору (не менше одного договору).</w:t>
            </w:r>
          </w:p>
          <w:p w:rsidR="00891334" w:rsidRDefault="00D340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1.1.2. не менше 1 копії договору, зазначеного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повному обсязі;</w:t>
            </w:r>
          </w:p>
          <w:p w:rsidR="00891334" w:rsidRDefault="00D340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відгук (або рекомендаційний лист тощо) (не менше одного) від контрагента згідно з аналогічн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який зазначено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ідці та надано у складі тендерної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опозиції про належне виконання цього договору. </w:t>
            </w:r>
          </w:p>
          <w:p w:rsidR="00891334" w:rsidRDefault="00891334">
            <w:pPr>
              <w:widowControl w:val="0"/>
              <w:spacing w:after="0" w:line="240" w:lineRule="auto"/>
              <w:rPr>
                <w:i/>
                <w:highlight w:val="yellow"/>
              </w:rPr>
            </w:pPr>
          </w:p>
          <w:p w:rsidR="00891334" w:rsidRDefault="00D340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Інформація та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документи можуть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дія якого не закінчена.</w:t>
            </w:r>
          </w:p>
        </w:tc>
      </w:tr>
    </w:tbl>
    <w:p w:rsidR="00891334" w:rsidRDefault="00D340CD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такого об’єднання на підставі наданої об’єднанням інформації.</w:t>
      </w:r>
    </w:p>
    <w:p w:rsidR="00891334" w:rsidRDefault="00891334">
      <w:pPr>
        <w:spacing w:before="120" w:after="240" w:line="240" w:lineRule="auto"/>
        <w:ind w:firstLine="720"/>
        <w:jc w:val="both"/>
        <w:rPr>
          <w:rFonts w:eastAsia="Times New Roman" w:cs="Times New Roman"/>
          <w:i/>
          <w:highlight w:val="yellow"/>
          <w:lang w:val="uk-UA"/>
        </w:rPr>
      </w:pPr>
    </w:p>
    <w:p w:rsidR="00891334" w:rsidRDefault="00D340CD">
      <w:pPr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тому числі для об’єднання учасників як учасника процедури)  вимогам, визначеним у пункті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Особливостей</w:t>
      </w:r>
    </w:p>
    <w:p w:rsidR="00891334" w:rsidRDefault="00D340CD">
      <w:pPr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1334" w:rsidRDefault="00D340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Замовник не вимагає від учасника процедури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Особливостей (крім абзацу чотирнадцятого цього пункту), крім самостійного декларування відсут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абзацу шістнадцятого пункту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Особливостей.</w:t>
      </w:r>
    </w:p>
    <w:p w:rsidR="00891334" w:rsidRDefault="00D340C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891334" w:rsidRDefault="00D340CD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 підтверджує в елект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ронній системі закупівель відсутність в учасника процедури закупівлі підстав, визначених підпунктами 1 і 7 цього пункту.</w:t>
      </w:r>
    </w:p>
    <w:p w:rsidR="00891334" w:rsidRDefault="00D340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довідку у довільній формі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ідстави для  відмови учаснику процедури закупівлі в участі у відкри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тих торгах, встановленої в абзаці 14 пункту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Особливостей. Учасник процедури закупі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стави для відмови в участі у відкритих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торгах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ідтвердження достатнім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учаснику процедури закупівлі не може бути відмовлено в участі в процедурі закупівлі.</w:t>
      </w:r>
    </w:p>
    <w:p w:rsidR="00891334" w:rsidRDefault="00D340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обсязі не менш як 20 відсотків вартості 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(у разі застосування таких критеріїв до учасника процедури закупі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замовник перевіряє 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суб’єктів господарювання щодо відсутності підстав, визначених пунктом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47 Особливостей.</w:t>
      </w:r>
    </w:p>
    <w:p w:rsidR="00891334" w:rsidRDefault="00891334">
      <w:pPr>
        <w:spacing w:after="8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91334" w:rsidRDefault="00D34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ПЕРЕМОЖЦЯ вимогам, визначеним у пункті 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Особливостей:</w:t>
      </w:r>
    </w:p>
    <w:p w:rsidR="00891334" w:rsidRDefault="00D340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 у строк,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тав, зазначених у підпунктах 3, 5, 6 і 12 та в абзаці чотирнадцятому пункту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Особливостей. </w:t>
      </w:r>
    </w:p>
    <w:p w:rsidR="00891334" w:rsidRDefault="00D340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</w:t>
      </w:r>
      <w:r>
        <w:rPr>
          <w:rFonts w:ascii="Times New Roman" w:eastAsia="Times New Roman" w:hAnsi="Times New Roman" w:cs="Times New Roman"/>
          <w:sz w:val="24"/>
          <w:szCs w:val="24"/>
        </w:rPr>
        <w:t>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891334" w:rsidRDefault="00891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891334" w:rsidRDefault="00D340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W w:w="9618" w:type="dxa"/>
        <w:tblInd w:w="-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760"/>
        <w:gridCol w:w="4351"/>
        <w:gridCol w:w="4507"/>
      </w:tblGrid>
      <w:tr w:rsidR="00891334">
        <w:trPr>
          <w:trHeight w:val="1005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334" w:rsidRDefault="00D340C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891334" w:rsidRDefault="00D340C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334" w:rsidRDefault="00D340C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Вимоги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згідно п. 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Особливостей</w:t>
            </w:r>
          </w:p>
          <w:p w:rsidR="00891334" w:rsidRDefault="00891334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334" w:rsidRDefault="00D340C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Переможець торгів на виконання вимоги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згідно п. 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Особливостей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891334">
        <w:trPr>
          <w:trHeight w:val="172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334" w:rsidRDefault="00D340C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334" w:rsidRDefault="00D340C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і, фізичну особу, яка є учасником процедури закупівлі, було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891334" w:rsidRDefault="00D340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3 пункт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Особливостей)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334" w:rsidRDefault="00D340CD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*Інформаційна довідка з Єдиного державного реєстру осіб, які вчинили корупційні або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 / фізичної особи, яка є учасником процедури закупівлі. </w:t>
            </w:r>
          </w:p>
          <w:p w:rsidR="00891334" w:rsidRDefault="00D340CD">
            <w:pPr>
              <w:widowControl w:val="0"/>
              <w:spacing w:after="0" w:line="276" w:lineRule="auto"/>
              <w:ind w:right="14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*Згідно з пунктом 47 Особливостей - Переможець процедури закупі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електронній системі закупівель документи, що підтверджують відсутність підстав, зазначених у </w:t>
            </w:r>
            <w:hyperlink r:id="rId7" w:anchor="n618" w:history="1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підпунктах 3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8" w:anchor="n620" w:history="1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5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9" w:anchor="n621" w:history="1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6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hyperlink r:id="rId10" w:anchor="n627" w:history="1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12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в </w:t>
            </w:r>
            <w:hyperlink r:id="rId11" w:anchor="n628" w:history="1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абзаці чотирнадцятому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цього пункту.</w:t>
            </w:r>
          </w:p>
          <w:p w:rsidR="00891334" w:rsidRDefault="00D340CD">
            <w:pPr>
              <w:widowControl w:val="0"/>
              <w:spacing w:after="0" w:line="276" w:lineRule="auto"/>
              <w:ind w:right="14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Згідно 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ідпунктом 3 пункту 44 Особливостей - Замовник відхиляє тендерну пропозицію із зазначенням аргументації в електронній системі закупівель у разі, коли переможець процедури закупівлі не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адав у спосіб, зазначений в тендерній документації, документи, що підтверджують відсутність підстав, визначених у </w:t>
            </w:r>
            <w:hyperlink r:id="rId12" w:anchor="n618" w:history="1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підпунктах 3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3" w:anchor="n620" w:history="1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5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4" w:anchor="n621" w:history="1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6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hyperlink r:id="rId15" w:anchor="n627" w:history="1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12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в </w:t>
            </w:r>
            <w:hyperlink r:id="rId16" w:anchor="n628" w:history="1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абзаці чотирнадцятому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пункту 47 Особливостей.</w:t>
            </w:r>
          </w:p>
          <w:p w:rsidR="00891334" w:rsidRDefault="00D340CD">
            <w:pPr>
              <w:widowControl w:val="0"/>
              <w:spacing w:after="0" w:line="252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ні реєстри можуть як зупиняти, обмежувати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свою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роботу, так і відкриватись, поновлюватись у період воєнного стану.</w:t>
            </w:r>
          </w:p>
          <w:p w:rsidR="00891334" w:rsidRDefault="00D340CD">
            <w:pPr>
              <w:widowControl w:val="0"/>
              <w:spacing w:after="0" w:line="252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Таким чином, Інформаційна довідка з Єдиного державного реєстру осіб, які вчинили корупційні або пов’язані з корупцією правопорушення, згідно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якою не буде знайдено інформації про корупційні або пов'язані з корупцією правопорушення 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/ фізичної особи, яка є учасником процедури закупівлі, надається переможцем.</w:t>
            </w:r>
          </w:p>
        </w:tc>
      </w:tr>
      <w:tr w:rsidR="00891334">
        <w:trPr>
          <w:trHeight w:val="2152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334" w:rsidRDefault="00D340C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334" w:rsidRDefault="00D340C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був засуд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891334" w:rsidRDefault="00D340CD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ідпункт 6 пункт 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Особливостей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91334" w:rsidRDefault="00D340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них кримінальним процесуальним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законодавством Україн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щодо керівника учасника процедури закупівлі, яка підписала тендерну пропозицію.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91334" w:rsidRDefault="008913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1334" w:rsidRDefault="00D340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891334">
        <w:trPr>
          <w:trHeight w:val="2535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334" w:rsidRDefault="00D340C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334" w:rsidRDefault="00D340C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Керівника учасника процедури заку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891334" w:rsidRDefault="00D340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12 пункт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Особливостей)</w:t>
            </w:r>
          </w:p>
        </w:tc>
        <w:tc>
          <w:tcPr>
            <w:tcW w:w="450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91334" w:rsidRDefault="008913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334">
        <w:trPr>
          <w:trHeight w:val="862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334" w:rsidRDefault="00D340C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334" w:rsidRDefault="00D340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ави для відмови в участі у відкритих торгах.  </w:t>
            </w:r>
          </w:p>
          <w:p w:rsidR="00891334" w:rsidRDefault="00D340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(абзац 14 пункт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Особливостей)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334" w:rsidRDefault="00D340CD">
            <w:pPr>
              <w:widowControl w:val="0"/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 в довільній формі,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викон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довести, що він сплатив або зобов’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язався сплатити відповідні зобов’язання та відшкодування завданих збитків. </w:t>
            </w:r>
          </w:p>
        </w:tc>
      </w:tr>
    </w:tbl>
    <w:p w:rsidR="00891334" w:rsidRDefault="008913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1334" w:rsidRDefault="00D340CD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ідприємцем):</w:t>
      </w:r>
    </w:p>
    <w:tbl>
      <w:tblPr>
        <w:tblW w:w="9619" w:type="dxa"/>
        <w:tblInd w:w="-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582"/>
        <w:gridCol w:w="4432"/>
        <w:gridCol w:w="4605"/>
      </w:tblGrid>
      <w:tr w:rsidR="00891334">
        <w:trPr>
          <w:trHeight w:val="82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334" w:rsidRDefault="00D340C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891334" w:rsidRDefault="00D340C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334" w:rsidRDefault="00D340C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Вимоги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згідно пункту 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Особливостей</w:t>
            </w:r>
          </w:p>
          <w:p w:rsidR="00891334" w:rsidRDefault="00891334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334" w:rsidRDefault="00D340C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Переможець торгів на виконання вимоги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згідно пункту 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Особливостей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891334">
        <w:trPr>
          <w:trHeight w:val="1723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334" w:rsidRDefault="00D340C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334" w:rsidRDefault="00D340C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і, фізичну особу, яка є учасником процедури закупівлі, було притягнуто згідно із законом  до відповідальності за вчине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ння корупційного правопорушення або правопорушення, пов’язаного з корупцією.</w:t>
            </w:r>
          </w:p>
          <w:p w:rsidR="00891334" w:rsidRDefault="00D340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3 пункт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334" w:rsidRDefault="00D340CD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 / фізичної особи, яка є учасником процедури закупівлі. </w:t>
            </w:r>
          </w:p>
          <w:p w:rsidR="00891334" w:rsidRDefault="00D340CD">
            <w:pPr>
              <w:widowControl w:val="0"/>
              <w:spacing w:after="0" w:line="276" w:lineRule="auto"/>
              <w:ind w:right="14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*Згідно з пунктом 47 Особливостей - Переможець процедури закупі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 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строк, що не перевищує чотири дні з дати оприлюднення в електронній системі закупівель повідомлення про намір укласти договір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</w:t>
            </w:r>
            <w:hyperlink r:id="rId17" w:anchor="n618" w:history="1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підпунктах 3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8" w:anchor="n620" w:history="1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5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9" w:anchor="n621" w:history="1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6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hyperlink r:id="rId20" w:anchor="n627" w:history="1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12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hyperlink r:id="rId21" w:anchor="n628" w:history="1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абзаці чотирнадцятому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цього пункту.</w:t>
            </w:r>
          </w:p>
          <w:p w:rsidR="00891334" w:rsidRDefault="00D340CD">
            <w:pPr>
              <w:widowControl w:val="0"/>
              <w:spacing w:after="0" w:line="276" w:lineRule="auto"/>
              <w:ind w:right="14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Згідно 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ідпунктом 3 пункту 44 Особливостей - Замовник відхиляє тендерну пропозицію із зазначенням аргументації в електронній системі закупівель у разі, коли переможець процедури закупівлі не надав у спосіб, зазначений в тендерній документації, документи,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що підтверджують відсутність підстав, визначених у </w:t>
            </w:r>
            <w:hyperlink r:id="rId22" w:anchor="n618" w:history="1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підпунктах 3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23" w:anchor="n620" w:history="1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5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24" w:anchor="n621" w:history="1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6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hyperlink r:id="rId25" w:anchor="n627" w:history="1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12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в </w:t>
            </w:r>
            <w:hyperlink r:id="rId26" w:anchor="n628" w:history="1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абзаці чотирнадцято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му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пункту 47 Особливостей.</w:t>
            </w:r>
          </w:p>
          <w:p w:rsidR="00891334" w:rsidRDefault="00D340CD">
            <w:pPr>
              <w:widowControl w:val="0"/>
              <w:spacing w:after="0" w:line="252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свою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роботу, так і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ідкриватись, поновлюватись у період воєнного стану.</w:t>
            </w:r>
          </w:p>
          <w:p w:rsidR="00891334" w:rsidRPr="00D340CD" w:rsidRDefault="00D340CD">
            <w:pPr>
              <w:widowControl w:val="0"/>
              <w:spacing w:after="0" w:line="252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Таким чином,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корупцією правопорушення керівника учасника процедури закупівлі / фізичної особи, яка є учасником процедури закупівлі, надається переможцем.</w:t>
            </w:r>
            <w:bookmarkStart w:id="0" w:name="_GoBack"/>
            <w:bookmarkEnd w:id="0"/>
          </w:p>
        </w:tc>
      </w:tr>
      <w:tr w:rsidR="00891334">
        <w:trPr>
          <w:trHeight w:val="2152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334" w:rsidRDefault="00D340C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334" w:rsidRDefault="00D340C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і, була засуджена за кримінальне правопорушення, вчинене 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891334" w:rsidRDefault="00D340C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ідпункт 5 пункт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91334" w:rsidRDefault="00D340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891334" w:rsidRDefault="008913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1334" w:rsidRDefault="00D340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891334">
        <w:trPr>
          <w:trHeight w:val="16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334" w:rsidRDefault="00D340C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334" w:rsidRDefault="00D340C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і, фізичну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891334" w:rsidRDefault="00D340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ідпункт 12 пункт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91334" w:rsidRDefault="008913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334">
        <w:trPr>
          <w:trHeight w:val="4092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334" w:rsidRDefault="00D340C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334" w:rsidRDefault="00D340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ави для відмови в участі у відкритих торгах.  </w:t>
            </w:r>
          </w:p>
          <w:p w:rsidR="00891334" w:rsidRDefault="00D340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(абзац 14 пункт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334" w:rsidRDefault="00D340CD">
            <w:pPr>
              <w:widowControl w:val="0"/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 в довільній формі,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викон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довести, що він сплатив або зобов’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язався сплатити відповідні зобов’язання та відшкодування завданих збитків. </w:t>
            </w:r>
          </w:p>
        </w:tc>
      </w:tr>
    </w:tbl>
    <w:p w:rsidR="00891334" w:rsidRDefault="00891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334" w:rsidRDefault="00D340C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ідприємців).</w:t>
      </w:r>
    </w:p>
    <w:tbl>
      <w:tblPr>
        <w:tblW w:w="9619" w:type="dxa"/>
        <w:tblInd w:w="-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400"/>
        <w:gridCol w:w="9219"/>
      </w:tblGrid>
      <w:tr w:rsidR="00891334">
        <w:trPr>
          <w:trHeight w:val="124"/>
        </w:trPr>
        <w:tc>
          <w:tcPr>
            <w:tcW w:w="9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891334" w:rsidRDefault="00D340C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891334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334" w:rsidRDefault="00D340CD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334" w:rsidRDefault="00D340CD">
            <w:pPr>
              <w:widowControl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89133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334" w:rsidRDefault="00D340CD">
            <w:pPr>
              <w:widowControl w:val="0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334" w:rsidRDefault="00D340CD">
            <w:pPr>
              <w:widowControl w:val="0"/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891334">
        <w:trPr>
          <w:trHeight w:val="580"/>
        </w:trPr>
        <w:tc>
          <w:tcPr>
            <w:tcW w:w="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334" w:rsidRDefault="00D340CD">
            <w:pPr>
              <w:widowControl w:val="0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334" w:rsidRDefault="00D340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якщо учасник або його кінцевий бенефіціарний власник, член або учасник (акціонер), що має частку в статутному кап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італі 10 і більше відсотків є громадянином Російської Федерації / Республіки Білорусь та проживає на території України на законних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ідставах, то учасник у складі тендерної пропозиції має надати стосовно таких осіб:</w:t>
            </w:r>
          </w:p>
          <w:p w:rsidR="00891334" w:rsidRDefault="00D340C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військовий квиток, виданий іноземцю, який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установленому порядку уклав контракт про проходження військової служби у Збройних Силах України, Державній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іальній службі транспорту або Національній гвардії України,</w:t>
            </w:r>
          </w:p>
          <w:p w:rsidR="00891334" w:rsidRDefault="00D340CD">
            <w:pPr>
              <w:widowControl w:val="0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</w:p>
          <w:p w:rsidR="00891334" w:rsidRDefault="00D340C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посвідчення біженця чи документ,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ідтверджує надання притулку в Україні,</w:t>
            </w:r>
          </w:p>
          <w:p w:rsidR="00891334" w:rsidRDefault="00D340CD">
            <w:pPr>
              <w:widowControl w:val="0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</w:p>
          <w:p w:rsidR="00891334" w:rsidRDefault="00D340C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посвідчення особи, яка потребує додаткового захисту в Україні,</w:t>
            </w:r>
          </w:p>
          <w:p w:rsidR="00891334" w:rsidRDefault="00D340CD">
            <w:pPr>
              <w:widowControl w:val="0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</w:p>
          <w:p w:rsidR="00891334" w:rsidRDefault="00D340CD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 особи, якій надано тимчасовий захист в Україні,</w:t>
            </w:r>
          </w:p>
          <w:p w:rsidR="00891334" w:rsidRDefault="00D340CD">
            <w:pPr>
              <w:widowControl w:val="0"/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</w:p>
          <w:p w:rsidR="00891334" w:rsidRDefault="00D340CD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витяг із реєстру територіальної громади,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ідтверджує зареєстроване або задеклароване місце проживання (перебування)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 разом з посвідкою на тимчасове проживання або посвідкою на постійне проживання або візою.</w:t>
            </w:r>
          </w:p>
        </w:tc>
      </w:tr>
    </w:tbl>
    <w:p w:rsidR="00891334" w:rsidRDefault="00891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334" w:rsidRDefault="008913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91334">
      <w:pgSz w:w="11906" w:h="16838"/>
      <w:pgMar w:top="850" w:right="850" w:bottom="850" w:left="1417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tiqua">
    <w:altName w:val="Times New Roman"/>
    <w:charset w:val="CC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0FFA"/>
    <w:multiLevelType w:val="multilevel"/>
    <w:tmpl w:val="28BE4D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865850"/>
    <w:multiLevelType w:val="multilevel"/>
    <w:tmpl w:val="6BEEF6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nsid w:val="198252F1"/>
    <w:multiLevelType w:val="multilevel"/>
    <w:tmpl w:val="6896B1C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nsid w:val="383C0B97"/>
    <w:multiLevelType w:val="multilevel"/>
    <w:tmpl w:val="C700E0C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nsid w:val="500D564C"/>
    <w:multiLevelType w:val="multilevel"/>
    <w:tmpl w:val="DB421C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4092DD3"/>
    <w:multiLevelType w:val="multilevel"/>
    <w:tmpl w:val="773A60A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34"/>
    <w:rsid w:val="00891334"/>
    <w:rsid w:val="00D3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qFormat/>
    <w:rsid w:val="002C2FD2"/>
  </w:style>
  <w:style w:type="character" w:customStyle="1" w:styleId="a4">
    <w:name w:val="Шрифт абзацу за промовчанням"/>
    <w:qFormat/>
    <w:rsid w:val="0075207B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aa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Normal (Web)"/>
    <w:basedOn w:val="a"/>
    <w:uiPriority w:val="99"/>
    <w:unhideWhenUsed/>
    <w:qFormat/>
    <w:rsid w:val="002C2F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d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e">
    <w:name w:val="Нормальний текст"/>
    <w:basedOn w:val="a"/>
    <w:qFormat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qFormat/>
    <w:rsid w:val="002C2FD2"/>
  </w:style>
  <w:style w:type="character" w:customStyle="1" w:styleId="a4">
    <w:name w:val="Шрифт абзацу за промовчанням"/>
    <w:qFormat/>
    <w:rsid w:val="0075207B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aa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Normal (Web)"/>
    <w:basedOn w:val="a"/>
    <w:uiPriority w:val="99"/>
    <w:unhideWhenUsed/>
    <w:qFormat/>
    <w:rsid w:val="002C2F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d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e">
    <w:name w:val="Нормальний текст"/>
    <w:basedOn w:val="a"/>
    <w:qFormat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&#1087;/ed20230901" TargetMode="External"/><Relationship Id="rId13" Type="http://schemas.openxmlformats.org/officeDocument/2006/relationships/hyperlink" Target="https://zakon.rada.gov.ua/laws/show/1178-2022-&#1087;/ed20230901" TargetMode="External"/><Relationship Id="rId18" Type="http://schemas.openxmlformats.org/officeDocument/2006/relationships/hyperlink" Target="https://zakon.rada.gov.ua/laws/show/1178-2022-&#1087;/ed20230901" TargetMode="External"/><Relationship Id="rId26" Type="http://schemas.openxmlformats.org/officeDocument/2006/relationships/hyperlink" Target="https://zakon.rada.gov.ua/laws/show/1178-2022-&#1087;/ed20230901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1178-2022-&#1087;/ed20230901" TargetMode="External"/><Relationship Id="rId7" Type="http://schemas.openxmlformats.org/officeDocument/2006/relationships/hyperlink" Target="https://zakon.rada.gov.ua/laws/show/1178-2022-&#1087;/ed20230901" TargetMode="External"/><Relationship Id="rId12" Type="http://schemas.openxmlformats.org/officeDocument/2006/relationships/hyperlink" Target="https://zakon.rada.gov.ua/laws/show/1178-2022-&#1087;/ed20230901" TargetMode="External"/><Relationship Id="rId17" Type="http://schemas.openxmlformats.org/officeDocument/2006/relationships/hyperlink" Target="https://zakon.rada.gov.ua/laws/show/1178-2022-&#1087;/ed20230901" TargetMode="External"/><Relationship Id="rId25" Type="http://schemas.openxmlformats.org/officeDocument/2006/relationships/hyperlink" Target="https://zakon.rada.gov.ua/laws/show/1178-2022-&#1087;/ed202309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178-2022-&#1087;/ed20230901" TargetMode="External"/><Relationship Id="rId20" Type="http://schemas.openxmlformats.org/officeDocument/2006/relationships/hyperlink" Target="https://zakon.rada.gov.ua/laws/show/1178-2022-&#1087;/ed202309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1178-2022-&#1087;/ed20230901" TargetMode="External"/><Relationship Id="rId24" Type="http://schemas.openxmlformats.org/officeDocument/2006/relationships/hyperlink" Target="https://zakon.rada.gov.ua/laws/show/1178-2022-&#1087;/ed2023090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1178-2022-&#1087;/ed20230901" TargetMode="External"/><Relationship Id="rId23" Type="http://schemas.openxmlformats.org/officeDocument/2006/relationships/hyperlink" Target="https://zakon.rada.gov.ua/laws/show/1178-2022-&#1087;/ed2023090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akon.rada.gov.ua/laws/show/1178-2022-&#1087;/ed20230901" TargetMode="External"/><Relationship Id="rId19" Type="http://schemas.openxmlformats.org/officeDocument/2006/relationships/hyperlink" Target="https://zakon.rada.gov.ua/laws/show/1178-2022-&#1087;/ed202309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178-2022-&#1087;/ed20230901" TargetMode="External"/><Relationship Id="rId14" Type="http://schemas.openxmlformats.org/officeDocument/2006/relationships/hyperlink" Target="https://zakon.rada.gov.ua/laws/show/1178-2022-&#1087;/ed20230901" TargetMode="External"/><Relationship Id="rId22" Type="http://schemas.openxmlformats.org/officeDocument/2006/relationships/hyperlink" Target="https://zakon.rada.gov.ua/laws/show/1178-2022-&#1087;/ed2023090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78WoAmjXb/PuetuposnqCrHQ95g==">AMUW2mVpRKTm2W9mE6n+THpVQes5uQD/lY5Z+qgVj1ceQY1kEcbamDyjm94bv5qVnlNqn5aqOChqaI06NhcGaIJqxxcju2hQlJynce2xFwSODsyrXpbshZjQHRaiEd3RPnkOfsRCDRIo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2661</Words>
  <Characters>15173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Белякова</dc:creator>
  <dc:description/>
  <cp:lastModifiedBy>Buhalter 2023</cp:lastModifiedBy>
  <cp:revision>5</cp:revision>
  <dcterms:created xsi:type="dcterms:W3CDTF">2023-09-27T15:33:00Z</dcterms:created>
  <dcterms:modified xsi:type="dcterms:W3CDTF">2024-03-20T11:57:00Z</dcterms:modified>
  <dc:language>uk-UA</dc:language>
</cp:coreProperties>
</file>