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" w:eastAsia="ru-RU"/>
        </w:rPr>
        <w:t>Акціонерне Товариство “Миколаївобленерго”</w:t>
      </w: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" w:eastAsia="ru-RU"/>
        </w:rPr>
      </w:pP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" w:eastAsia="ru-RU"/>
        </w:rPr>
      </w:pP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" w:eastAsia="ru-RU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3930"/>
        <w:gridCol w:w="5790"/>
      </w:tblGrid>
      <w:tr w:rsidR="00844B98" w:rsidTr="0099472D">
        <w:tc>
          <w:tcPr>
            <w:tcW w:w="3930" w:type="dxa"/>
            <w:shd w:val="clear" w:color="auto" w:fill="auto"/>
          </w:tcPr>
          <w:p w:rsidR="00844B98" w:rsidRDefault="00844B98" w:rsidP="0099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"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844B98" w:rsidRDefault="00844B98" w:rsidP="0099472D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>«Затверджено»</w:t>
            </w:r>
          </w:p>
        </w:tc>
      </w:tr>
      <w:tr w:rsidR="00844B98" w:rsidTr="0099472D">
        <w:tc>
          <w:tcPr>
            <w:tcW w:w="3930" w:type="dxa"/>
            <w:shd w:val="clear" w:color="auto" w:fill="auto"/>
          </w:tcPr>
          <w:p w:rsidR="00844B98" w:rsidRDefault="00844B98" w:rsidP="0099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"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844B98" w:rsidRDefault="00844B98" w:rsidP="0099472D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>Уповноважена особа</w:t>
            </w:r>
          </w:p>
        </w:tc>
      </w:tr>
      <w:tr w:rsidR="00844B98" w:rsidTr="0099472D">
        <w:tc>
          <w:tcPr>
            <w:tcW w:w="3930" w:type="dxa"/>
            <w:shd w:val="clear" w:color="auto" w:fill="auto"/>
          </w:tcPr>
          <w:p w:rsidR="00844B98" w:rsidRDefault="00844B98" w:rsidP="0099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"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844B98" w:rsidRDefault="00D17129" w:rsidP="00F51CBA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>Станіслав Г</w:t>
            </w:r>
            <w:r w:rsidR="00F5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>АДОМСЬКИЙ</w:t>
            </w:r>
            <w:r w:rsidR="0084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  <w:t xml:space="preserve"> </w:t>
            </w:r>
          </w:p>
        </w:tc>
      </w:tr>
      <w:tr w:rsidR="00844B98" w:rsidTr="0099472D">
        <w:tc>
          <w:tcPr>
            <w:tcW w:w="3930" w:type="dxa"/>
            <w:shd w:val="clear" w:color="auto" w:fill="auto"/>
          </w:tcPr>
          <w:p w:rsidR="00844B98" w:rsidRDefault="00844B98" w:rsidP="0099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"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844B98" w:rsidRDefault="00844B98" w:rsidP="0099472D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ru-RU"/>
              </w:rPr>
            </w:pPr>
          </w:p>
        </w:tc>
      </w:tr>
      <w:tr w:rsidR="00844B98" w:rsidTr="0099472D">
        <w:tc>
          <w:tcPr>
            <w:tcW w:w="3930" w:type="dxa"/>
            <w:shd w:val="clear" w:color="auto" w:fill="auto"/>
          </w:tcPr>
          <w:p w:rsidR="00844B98" w:rsidRDefault="00844B98" w:rsidP="0099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" w:eastAsia="ru-RU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844B98" w:rsidRDefault="007B0D72" w:rsidP="00737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Рішення №</w:t>
            </w:r>
            <w:r w:rsidR="00737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51/22</w:t>
            </w:r>
            <w:r w:rsidR="000D2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 xml:space="preserve"> </w:t>
            </w:r>
            <w:r w:rsidR="0084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від «</w:t>
            </w:r>
            <w:r w:rsidR="00B50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2</w:t>
            </w:r>
            <w:r w:rsidR="00737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4</w:t>
            </w:r>
            <w:r w:rsidR="0084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 xml:space="preserve">» </w:t>
            </w:r>
            <w:r w:rsidR="00B50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червня</w:t>
            </w:r>
            <w:r w:rsidR="0084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 xml:space="preserve"> 202</w:t>
            </w:r>
            <w:r w:rsidR="00B50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>2</w:t>
            </w:r>
            <w:r w:rsidR="0084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ru-RU"/>
              </w:rPr>
              <w:t xml:space="preserve"> року</w:t>
            </w:r>
          </w:p>
        </w:tc>
      </w:tr>
    </w:tbl>
    <w:p w:rsidR="00844B98" w:rsidRDefault="00844B98" w:rsidP="00844B98">
      <w:pPr>
        <w:spacing w:after="0" w:line="240" w:lineRule="auto"/>
        <w:ind w:left="137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1F425A" w:rsidRDefault="001F425A" w:rsidP="00844B98">
      <w:pPr>
        <w:spacing w:after="0" w:line="240" w:lineRule="auto"/>
        <w:ind w:left="137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844B98" w:rsidRDefault="00844B98" w:rsidP="00844B98">
      <w:pPr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" w:eastAsia="ru-RU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" w:eastAsia="ru-RU"/>
        </w:rPr>
        <w:t>ДОКУМЕНТАЦІЯ</w:t>
      </w:r>
    </w:p>
    <w:p w:rsidR="00844B98" w:rsidRDefault="00844B98" w:rsidP="00844B98">
      <w:pPr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ru-RU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щодо проведення спрощеної закупівлі за предметом:</w:t>
      </w: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ru-RU"/>
        </w:rPr>
        <w:t xml:space="preserve"> </w:t>
      </w:r>
    </w:p>
    <w:p w:rsidR="00A90841" w:rsidRDefault="005778BB" w:rsidP="00A90841">
      <w:pPr>
        <w:shd w:val="clear" w:color="auto" w:fill="FFFFFF"/>
        <w:spacing w:after="0"/>
        <w:jc w:val="center"/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</w:pPr>
      <w:r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  <w:t>Проектно-кошторисна документація</w:t>
      </w:r>
      <w:r w:rsidR="006B37E7" w:rsidRPr="006B37E7"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  <w:t xml:space="preserve"> по об’єкту: </w:t>
      </w:r>
      <w:r w:rsidR="00A90841" w:rsidRPr="00A90841"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  <w:t xml:space="preserve">«Реконструкція КЛ-6 кВ від РП-74 до ТП-669 Ф747, Ф741 в </w:t>
      </w:r>
      <w:proofErr w:type="spellStart"/>
      <w:r w:rsidR="00A90841" w:rsidRPr="00A90841"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  <w:t>Інгульському</w:t>
      </w:r>
      <w:proofErr w:type="spellEnd"/>
      <w:r w:rsidR="00A90841" w:rsidRPr="00A90841">
        <w:rPr>
          <w:rFonts w:ascii="Times New Roman" w:eastAsia="Arial" w:hAnsi="Times New Roman" w:cs="Arial"/>
          <w:b/>
          <w:bCs/>
          <w:color w:val="000000"/>
          <w:sz w:val="40"/>
          <w:szCs w:val="40"/>
          <w:u w:color="000000"/>
          <w:lang w:val="uk" w:eastAsia="ru-RU"/>
        </w:rPr>
        <w:t xml:space="preserve"> районі м. Миколаєва» (ІП 1.2.1.8)</w:t>
      </w:r>
    </w:p>
    <w:p w:rsidR="00844B98" w:rsidRDefault="00844B98" w:rsidP="00A908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  <w:r w:rsidRPr="001D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ДК 021:2015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F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CPV</w:t>
      </w:r>
      <w:r w:rsidRPr="001D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40BA" w:rsidRPr="009740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05A0" w:rsidRPr="00B505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71320000-7</w:t>
      </w:r>
      <w:r w:rsidR="009740BA" w:rsidRPr="009740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05A0" w:rsidRPr="00B505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Послуги з інженерного проектування</w:t>
      </w:r>
    </w:p>
    <w:p w:rsidR="00844B98" w:rsidRDefault="00844B98" w:rsidP="00844B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9740BA" w:rsidRDefault="009740BA" w:rsidP="00844B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166E05" w:rsidRDefault="00166E05" w:rsidP="00844B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9740BA" w:rsidRDefault="009740BA" w:rsidP="00844B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</w:p>
    <w:p w:rsidR="00844B98" w:rsidRPr="00926CA3" w:rsidRDefault="00A90841" w:rsidP="00844B98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" w:eastAsia="ru-RU"/>
        </w:rPr>
      </w:pPr>
      <w:r w:rsidRPr="00A90841">
        <w:rPr>
          <w:rFonts w:ascii="Times New Roman" w:eastAsia="Arial" w:hAnsi="Times New Roman" w:cs="Arial"/>
          <w:b/>
          <w:color w:val="000000"/>
          <w:sz w:val="48"/>
          <w:szCs w:val="48"/>
          <w:lang w:val="uk" w:eastAsia="ru-RU"/>
        </w:rPr>
        <w:t>60 026,30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 </w:t>
      </w:r>
      <w:r w:rsidR="00844B98" w:rsidRPr="00926CA3">
        <w:rPr>
          <w:rFonts w:ascii="Times New Roman" w:eastAsia="Arial" w:hAnsi="Times New Roman" w:cs="Arial"/>
          <w:b/>
          <w:color w:val="000000"/>
          <w:sz w:val="48"/>
          <w:szCs w:val="48"/>
          <w:lang w:val="uk" w:eastAsia="ru-RU"/>
        </w:rPr>
        <w:t xml:space="preserve"> грн</w:t>
      </w:r>
    </w:p>
    <w:p w:rsidR="000C0FA3" w:rsidRDefault="000C0FA3" w:rsidP="00844B98">
      <w:pPr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</w:pPr>
      <w:bookmarkStart w:id="3" w:name="_heading=h.tyjcwt"/>
      <w:bookmarkEnd w:id="3"/>
    </w:p>
    <w:p w:rsidR="00844B98" w:rsidRDefault="00844B98" w:rsidP="00844B98">
      <w:pPr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 </w:t>
      </w:r>
    </w:p>
    <w:p w:rsidR="007376AA" w:rsidRDefault="007376AA" w:rsidP="00844B98">
      <w:pPr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</w:pPr>
      <w:bookmarkStart w:id="4" w:name="_heading=h.4d34og8"/>
      <w:bookmarkStart w:id="5" w:name="_heading=h.2s8eyo1"/>
      <w:bookmarkStart w:id="6" w:name="_heading=h.17dp8vu"/>
      <w:bookmarkStart w:id="7" w:name="_heading=h.3rdcrjn"/>
      <w:bookmarkEnd w:id="4"/>
      <w:bookmarkEnd w:id="5"/>
      <w:bookmarkEnd w:id="6"/>
      <w:bookmarkEnd w:id="7"/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B505A0" w:rsidRDefault="00B505A0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B505A0" w:rsidRDefault="00B505A0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B505A0" w:rsidRDefault="00B505A0" w:rsidP="00A76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A76E2C" w:rsidRDefault="00A76E2C" w:rsidP="00A76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A90841" w:rsidRDefault="00A90841" w:rsidP="00A76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A76E2C" w:rsidRDefault="00A76E2C" w:rsidP="00A76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 xml:space="preserve">м. Миколаїв </w:t>
      </w:r>
    </w:p>
    <w:p w:rsidR="00844B98" w:rsidRDefault="00B505A0" w:rsidP="00D0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>2022</w:t>
      </w:r>
      <w:r w:rsidR="00844B98"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 xml:space="preserve"> рік</w:t>
      </w:r>
    </w:p>
    <w:p w:rsidR="001F425A" w:rsidRDefault="001F425A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1F425A" w:rsidRDefault="001F425A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" w:eastAsia="ru-RU"/>
        </w:rPr>
      </w:pPr>
    </w:p>
    <w:p w:rsidR="005778BB" w:rsidRDefault="005778BB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" w:eastAsia="ru-RU"/>
        </w:rPr>
      </w:pPr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" w:eastAsia="ru-RU"/>
        </w:rPr>
        <w:t>ОГОЛОШЕННЯ</w:t>
      </w:r>
      <w:bookmarkStart w:id="8" w:name="_heading=h.lnxbz9"/>
      <w:bookmarkEnd w:id="8"/>
    </w:p>
    <w:p w:rsidR="00844B98" w:rsidRDefault="00844B98" w:rsidP="0084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" w:eastAsia="ru-RU"/>
        </w:rPr>
        <w:t>про проведення закупівлі за допомогою системи електронних торгів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" w:eastAsia="ru-RU"/>
        </w:rPr>
        <w:t xml:space="preserve"> 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1. Замовник: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1.1. Найменування: Акціонерне Товариство “Миколаївобленерго”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1.2. Ідентифікаційний код за ЄДРПОУ: 23399393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1.3. Місцезнаходження: 54017, Україна, м. Миколаїв, вул. Громадянська, б.40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1.4. Посадова особа Замовника, уповноважена здійснювати зв'язок з учасниками:  </w:t>
      </w:r>
      <w:r w:rsidR="00F13A0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Станіслав Г</w:t>
      </w:r>
      <w:r w:rsidR="00F51CBA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АДОМСЬКИЙ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. +38(05</w:t>
      </w:r>
      <w:r w:rsidR="00F13A0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)</w:t>
      </w:r>
      <w:r w:rsidR="00F13A0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53-94-14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, електронна пошта: </w:t>
      </w:r>
      <w:proofErr w:type="spellStart"/>
      <w:r w:rsidR="00F1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hadomskyi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_s@energy.mk.ua</w:t>
      </w:r>
    </w:p>
    <w:p w:rsidR="00F13A00" w:rsidRDefault="00F13A00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</w:p>
    <w:p w:rsidR="00844B98" w:rsidRPr="00732896" w:rsidRDefault="00844B98" w:rsidP="000C0FA3">
      <w:pPr>
        <w:spacing w:after="0" w:line="240" w:lineRule="auto"/>
        <w:jc w:val="both"/>
        <w:rPr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2. Очікувана вартість закупівлі: </w:t>
      </w:r>
      <w:r w:rsidR="00A90841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60 026,30 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грн (</w:t>
      </w:r>
      <w:r w:rsidR="00A90841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шістдесят тисяч двадцять шість грн</w:t>
      </w:r>
      <w:bookmarkStart w:id="9" w:name="_GoBack"/>
      <w:bookmarkEnd w:id="9"/>
      <w:r w:rsidR="00A90841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30</w:t>
      </w:r>
      <w:r w:rsidR="00A76E2C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</w:t>
      </w:r>
      <w:r w:rsidR="00F13A00" w:rsidRPr="00F13A0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коп</w:t>
      </w:r>
      <w:r w:rsidR="00BD14D1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.</w:t>
      </w:r>
      <w:r w:rsidR="004176FD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)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2.1. Джерело фінансування: Власний бюджет (кошти від господарської діяльності          підприємства)</w:t>
      </w: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2.2. Крок аукціону: 0,5 %</w:t>
      </w:r>
    </w:p>
    <w:p w:rsidR="00F13A00" w:rsidRDefault="00F13A00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</w:p>
    <w:p w:rsidR="00844B98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3. Інформація про предмет закупівлі:</w:t>
      </w:r>
    </w:p>
    <w:p w:rsidR="00A90841" w:rsidRPr="008B07D8" w:rsidRDefault="00844B98" w:rsidP="00B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3.1. Назва предмету закупівлі:</w:t>
      </w:r>
      <w:r w:rsidRPr="00844B98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</w:t>
      </w:r>
      <w:r w:rsidR="00A90841" w:rsidRPr="008B07D8">
        <w:rPr>
          <w:rFonts w:ascii="Times New Roman" w:eastAsia="Times New Roman" w:hAnsi="Times New Roman" w:cs="Times New Roman"/>
          <w:b/>
          <w:i/>
          <w:sz w:val="24"/>
          <w:szCs w:val="24"/>
          <w:lang w:val="uk" w:eastAsia="ru-RU"/>
        </w:rPr>
        <w:t xml:space="preserve">Проектно-кошторисна документація по об’єкту: «Реконструкція КЛ-6 кВ від РП-74 до ТП-669 Ф747, Ф741 в </w:t>
      </w:r>
      <w:proofErr w:type="spellStart"/>
      <w:r w:rsidR="00A90841" w:rsidRPr="008B07D8">
        <w:rPr>
          <w:rFonts w:ascii="Times New Roman" w:eastAsia="Times New Roman" w:hAnsi="Times New Roman" w:cs="Times New Roman"/>
          <w:b/>
          <w:i/>
          <w:sz w:val="24"/>
          <w:szCs w:val="24"/>
          <w:lang w:val="uk" w:eastAsia="ru-RU"/>
        </w:rPr>
        <w:t>Інгульському</w:t>
      </w:r>
      <w:proofErr w:type="spellEnd"/>
      <w:r w:rsidR="00A90841" w:rsidRPr="008B07D8">
        <w:rPr>
          <w:rFonts w:ascii="Times New Roman" w:eastAsia="Times New Roman" w:hAnsi="Times New Roman" w:cs="Times New Roman"/>
          <w:b/>
          <w:i/>
          <w:sz w:val="24"/>
          <w:szCs w:val="24"/>
          <w:lang w:val="uk" w:eastAsia="ru-RU"/>
        </w:rPr>
        <w:t xml:space="preserve"> районі м. Миколаєва» (ІП 1.2.1.8)</w:t>
      </w:r>
    </w:p>
    <w:p w:rsidR="00732896" w:rsidRPr="00732896" w:rsidRDefault="00732896" w:rsidP="00B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73289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3.2. Технічні (якісні) вимоги до предмету закупівлі </w:t>
      </w:r>
      <w:r w:rsidR="009740BA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відповідно до Додатку 1 </w:t>
      </w:r>
    </w:p>
    <w:p w:rsidR="00AC68A3" w:rsidRDefault="00732896" w:rsidP="000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73289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3.3. Місце виконання робіт:</w:t>
      </w:r>
      <w:r w:rsidR="00DE3C99" w:rsidRPr="00DE3C99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</w:t>
      </w:r>
      <w:r w:rsidR="00B505A0" w:rsidRPr="00B505A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Миколаївська область, м. Миколаїв, вул. Громадянська, 40, </w:t>
      </w:r>
      <w:proofErr w:type="spellStart"/>
      <w:r w:rsidR="00B505A0" w:rsidRPr="00B505A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інд</w:t>
      </w:r>
      <w:proofErr w:type="spellEnd"/>
      <w:r w:rsidR="00B505A0" w:rsidRPr="00B505A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. 54017.</w:t>
      </w:r>
    </w:p>
    <w:p w:rsidR="00B505A0" w:rsidRDefault="00732896" w:rsidP="00B505A0">
      <w:pPr>
        <w:widowControl w:val="0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85D75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3.4. Стро</w:t>
      </w:r>
      <w:r w:rsidR="00A253AC" w:rsidRPr="00685D75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к виконання робіт: </w:t>
      </w:r>
      <w:proofErr w:type="spellStart"/>
      <w:r w:rsidR="00B505A0">
        <w:rPr>
          <w:rFonts w:ascii="Times New Roman" w:hAnsi="Times New Roman"/>
          <w:sz w:val="24"/>
        </w:rPr>
        <w:t>протягом</w:t>
      </w:r>
      <w:proofErr w:type="spellEnd"/>
      <w:r w:rsidR="00B505A0">
        <w:rPr>
          <w:rFonts w:ascii="Times New Roman" w:hAnsi="Times New Roman"/>
          <w:sz w:val="24"/>
        </w:rPr>
        <w:t xml:space="preserve"> 90 </w:t>
      </w:r>
      <w:proofErr w:type="spellStart"/>
      <w:r w:rsidR="00B505A0">
        <w:rPr>
          <w:rFonts w:ascii="Times New Roman" w:hAnsi="Times New Roman"/>
          <w:sz w:val="24"/>
        </w:rPr>
        <w:t>календарних</w:t>
      </w:r>
      <w:proofErr w:type="spellEnd"/>
      <w:r w:rsidR="00B505A0">
        <w:rPr>
          <w:rFonts w:ascii="Times New Roman" w:hAnsi="Times New Roman"/>
          <w:sz w:val="24"/>
        </w:rPr>
        <w:t xml:space="preserve"> </w:t>
      </w:r>
      <w:proofErr w:type="spellStart"/>
      <w:r w:rsidR="00B505A0">
        <w:rPr>
          <w:rFonts w:ascii="Times New Roman" w:hAnsi="Times New Roman"/>
          <w:sz w:val="24"/>
        </w:rPr>
        <w:t>днів</w:t>
      </w:r>
      <w:proofErr w:type="spellEnd"/>
      <w:r w:rsidR="00B505A0">
        <w:rPr>
          <w:rFonts w:ascii="Times New Roman" w:hAnsi="Times New Roman"/>
          <w:sz w:val="24"/>
        </w:rPr>
        <w:t xml:space="preserve"> з моменту початку </w:t>
      </w:r>
      <w:proofErr w:type="spellStart"/>
      <w:r w:rsidR="00B505A0">
        <w:rPr>
          <w:rFonts w:ascii="Times New Roman" w:hAnsi="Times New Roman"/>
          <w:sz w:val="24"/>
        </w:rPr>
        <w:t>виконання</w:t>
      </w:r>
      <w:proofErr w:type="spellEnd"/>
      <w:r w:rsidR="00B505A0">
        <w:rPr>
          <w:rFonts w:ascii="Times New Roman" w:hAnsi="Times New Roman"/>
          <w:sz w:val="24"/>
        </w:rPr>
        <w:t xml:space="preserve"> </w:t>
      </w:r>
      <w:proofErr w:type="spellStart"/>
      <w:r w:rsidR="00B505A0">
        <w:rPr>
          <w:rFonts w:ascii="Times New Roman" w:hAnsi="Times New Roman"/>
          <w:sz w:val="24"/>
        </w:rPr>
        <w:t>робіт</w:t>
      </w:r>
      <w:proofErr w:type="spellEnd"/>
      <w:r w:rsidR="00B505A0">
        <w:rPr>
          <w:rFonts w:ascii="Times New Roman" w:hAnsi="Times New Roman"/>
          <w:sz w:val="24"/>
        </w:rPr>
        <w:t>.</w:t>
      </w:r>
    </w:p>
    <w:p w:rsidR="000C14A7" w:rsidRDefault="00732896" w:rsidP="000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685D75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3.5. </w:t>
      </w:r>
      <w:r w:rsidRPr="00E22CA4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Порядок оплати: </w:t>
      </w:r>
      <w:r w:rsidR="000C14A7" w:rsidRPr="000C14A7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Передплата у розмірі 30 % від ціни Договору, здійснюється  на  підставі  рахунку протягом 3-х (трьох) банківських  днів з моменту  його отримання</w:t>
      </w:r>
      <w:r w:rsidR="000C14A7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.</w:t>
      </w:r>
    </w:p>
    <w:p w:rsidR="00844B98" w:rsidRPr="000C14A7" w:rsidRDefault="000C14A7" w:rsidP="000C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0C14A7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Після виконання робіт у повному обсязі остаточний розрахунок здійснюється на підставі рахунку протягом 180 (сто вісімдесят) банківських днів після підписання Замовником Акту здачі-приймання Проектної документації.</w:t>
      </w:r>
    </w:p>
    <w:p w:rsidR="000C14A7" w:rsidRDefault="000C14A7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</w:p>
    <w:p w:rsidR="00844B98" w:rsidRPr="00FC3720" w:rsidRDefault="00844B98" w:rsidP="0084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  <w:r w:rsidRPr="00FC3720"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>Кваліфікаційні вимоги до учасників:</w:t>
      </w:r>
    </w:p>
    <w:p w:rsidR="002F32C0" w:rsidRPr="002F32C0" w:rsidRDefault="002F32C0" w:rsidP="000C1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2F32C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7D7FA5" w:rsidRPr="00CE6C06" w:rsidRDefault="007D7FA5" w:rsidP="007D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1) д</w:t>
      </w:r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окументи, що підтверджують повноваження  посадової  особи щодо підпису документів пропозиції  (виписка з протоколу засновників або витяг зі Статуту, наказ про призначення, довіреність або інші документи та копії паспорту (</w:t>
      </w:r>
      <w:proofErr w:type="spellStart"/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ів</w:t>
      </w:r>
      <w:proofErr w:type="spellEnd"/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) уповноваженої (</w:t>
      </w:r>
      <w:proofErr w:type="spellStart"/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их</w:t>
      </w:r>
      <w:proofErr w:type="spellEnd"/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) осіб на право підпису документів цінової пропозиції, договору на виконання послуг та актів викона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них робіт);</w:t>
      </w:r>
    </w:p>
    <w:p w:rsidR="007D7FA5" w:rsidRPr="00CE6C06" w:rsidRDefault="007D7FA5" w:rsidP="007D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2) к</w:t>
      </w:r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опі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ю</w:t>
      </w:r>
      <w:r w:rsidRPr="00CE6C06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Витягу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або Свідоцтва платника податку;</w:t>
      </w:r>
    </w:p>
    <w:p w:rsidR="007D7FA5" w:rsidRPr="00FC3720" w:rsidRDefault="007D7FA5" w:rsidP="007D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3) </w:t>
      </w:r>
      <w:r w:rsidRPr="00FC372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довідк</w:t>
      </w:r>
      <w:r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у</w:t>
      </w:r>
      <w:r w:rsidRPr="00FC3720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у довільній формі, яка містить контактні дані компанії-учасника (з зазначенням реквізитів учасника: назви, коду ЄДРПОУ, розрахункових реквізитів, місцезнаходження, поштової адреси, телефону, електронної адреси), відомості про контактну особу (прізвище, ім’я, по-батьков</w:t>
      </w:r>
      <w:r w:rsidR="00A90841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і, посада, контактний телефон)).</w:t>
      </w:r>
    </w:p>
    <w:p w:rsidR="007D7FA5" w:rsidRDefault="007D7FA5" w:rsidP="007D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</w:p>
    <w:p w:rsidR="000142D1" w:rsidRDefault="000142D1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4F1726" w:rsidRDefault="004F1726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4F1726" w:rsidRDefault="004F1726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A253AC" w:rsidRDefault="00A253AC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A90841" w:rsidRDefault="00A90841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685D75" w:rsidRDefault="00685D75" w:rsidP="00D129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4F1726" w:rsidRPr="00601073" w:rsidRDefault="004F1726" w:rsidP="004F1726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Додаток 1</w:t>
      </w:r>
    </w:p>
    <w:p w:rsidR="00A90841" w:rsidRPr="004D055A" w:rsidRDefault="00A90841" w:rsidP="00A90841">
      <w:pPr>
        <w:ind w:left="5103"/>
        <w:jc w:val="center"/>
        <w:rPr>
          <w:b/>
          <w:bCs/>
          <w:sz w:val="20"/>
          <w:szCs w:val="20"/>
        </w:rPr>
      </w:pPr>
    </w:p>
    <w:p w:rsidR="00A90841" w:rsidRPr="004D055A" w:rsidRDefault="00A90841" w:rsidP="00A9084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055A">
        <w:rPr>
          <w:rFonts w:ascii="Times New Roman" w:hAnsi="Times New Roman"/>
          <w:b/>
          <w:bCs/>
          <w:sz w:val="28"/>
          <w:szCs w:val="28"/>
        </w:rPr>
        <w:t>ТЕХН</w:t>
      </w:r>
      <w:proofErr w:type="gramEnd"/>
      <w:r w:rsidRPr="004D055A">
        <w:rPr>
          <w:rFonts w:ascii="Times New Roman" w:hAnsi="Times New Roman"/>
          <w:b/>
          <w:bCs/>
          <w:sz w:val="28"/>
          <w:szCs w:val="28"/>
        </w:rPr>
        <w:t>ІЧНІ ВИМОГИ</w:t>
      </w:r>
    </w:p>
    <w:p w:rsidR="00A90841" w:rsidRDefault="00A90841" w:rsidP="00A90841">
      <w:pPr>
        <w:pStyle w:val="2"/>
        <w:spacing w:line="240" w:lineRule="auto"/>
        <w:ind w:left="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закупівлю </w:t>
      </w:r>
      <w:proofErr w:type="spellStart"/>
      <w:r>
        <w:rPr>
          <w:sz w:val="24"/>
          <w:szCs w:val="24"/>
        </w:rPr>
        <w:t>проєктно</w:t>
      </w:r>
      <w:proofErr w:type="spellEnd"/>
      <w:r>
        <w:rPr>
          <w:sz w:val="24"/>
          <w:szCs w:val="24"/>
        </w:rPr>
        <w:t xml:space="preserve">-кошторисних робіт по об’єкту </w:t>
      </w:r>
    </w:p>
    <w:p w:rsidR="00A90841" w:rsidRDefault="00A90841" w:rsidP="00A90841">
      <w:pPr>
        <w:pStyle w:val="2"/>
        <w:spacing w:line="240" w:lineRule="auto"/>
        <w:ind w:left="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5044">
        <w:rPr>
          <w:sz w:val="24"/>
          <w:szCs w:val="24"/>
        </w:rPr>
        <w:t>«</w:t>
      </w:r>
      <w:r>
        <w:rPr>
          <w:sz w:val="24"/>
          <w:szCs w:val="24"/>
        </w:rPr>
        <w:t xml:space="preserve">Реконструкція КЛ-6 кВ від РП-74 до ТП-669 Ф747, Ф741 в </w:t>
      </w:r>
      <w:proofErr w:type="spellStart"/>
      <w:r>
        <w:rPr>
          <w:sz w:val="24"/>
          <w:szCs w:val="24"/>
        </w:rPr>
        <w:t>Інгульському</w:t>
      </w:r>
      <w:proofErr w:type="spellEnd"/>
      <w:r>
        <w:rPr>
          <w:sz w:val="24"/>
          <w:szCs w:val="24"/>
        </w:rPr>
        <w:t xml:space="preserve"> районі м. Миколаєва» </w:t>
      </w:r>
      <w:r w:rsidR="008B07D8" w:rsidRPr="008B07D8">
        <w:rPr>
          <w:sz w:val="24"/>
          <w:szCs w:val="24"/>
        </w:rPr>
        <w:t>(ІП 1.2.1.8)</w:t>
      </w:r>
    </w:p>
    <w:p w:rsidR="00A90841" w:rsidRDefault="00A90841" w:rsidP="00A90841">
      <w:pPr>
        <w:shd w:val="clear" w:color="auto" w:fill="FFFFFF"/>
        <w:ind w:left="10"/>
        <w:jc w:val="center"/>
        <w:rPr>
          <w:bCs/>
          <w:iCs/>
          <w:spacing w:val="-2"/>
          <w:sz w:val="16"/>
          <w:szCs w:val="16"/>
        </w:rPr>
      </w:pPr>
    </w:p>
    <w:p w:rsidR="00A90841" w:rsidRPr="004D055A" w:rsidRDefault="00A90841" w:rsidP="00A90841">
      <w:pPr>
        <w:shd w:val="clear" w:color="auto" w:fill="FFFFFF"/>
        <w:ind w:left="10"/>
        <w:jc w:val="center"/>
        <w:rPr>
          <w:bCs/>
          <w:iCs/>
          <w:spacing w:val="-2"/>
          <w:sz w:val="16"/>
          <w:szCs w:val="16"/>
        </w:rPr>
      </w:pPr>
    </w:p>
    <w:p w:rsidR="00A90841" w:rsidRPr="004D055A" w:rsidRDefault="00A90841" w:rsidP="00A90841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spellStart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Інформаційні</w:t>
      </w:r>
      <w:proofErr w:type="spellEnd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дані</w:t>
      </w:r>
      <w:proofErr w:type="spellEnd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A90841" w:rsidRPr="004D055A" w:rsidRDefault="00A90841" w:rsidP="00A90841">
      <w:pPr>
        <w:shd w:val="clear" w:color="auto" w:fill="FFFFFF"/>
        <w:tabs>
          <w:tab w:val="left" w:pos="221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A90841" w:rsidRDefault="00A90841" w:rsidP="00A90841">
      <w:pPr>
        <w:widowControl w:val="0"/>
        <w:numPr>
          <w:ilvl w:val="0"/>
          <w:numId w:val="13"/>
        </w:numPr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E0D8C">
        <w:rPr>
          <w:rFonts w:ascii="Times New Roman" w:hAnsi="Times New Roman"/>
          <w:sz w:val="24"/>
        </w:rPr>
        <w:t xml:space="preserve">Строк поставки </w:t>
      </w:r>
      <w:proofErr w:type="spellStart"/>
      <w:r w:rsidRPr="009E0D8C">
        <w:rPr>
          <w:rFonts w:ascii="Times New Roman" w:hAnsi="Times New Roman"/>
          <w:sz w:val="24"/>
        </w:rPr>
        <w:t>товарів</w:t>
      </w:r>
      <w:proofErr w:type="spellEnd"/>
      <w:r w:rsidRPr="009E0D8C">
        <w:rPr>
          <w:rFonts w:ascii="Times New Roman" w:hAnsi="Times New Roman"/>
          <w:sz w:val="24"/>
        </w:rPr>
        <w:t xml:space="preserve">, </w:t>
      </w:r>
      <w:proofErr w:type="spellStart"/>
      <w:r w:rsidRPr="009E0D8C">
        <w:rPr>
          <w:rFonts w:ascii="Times New Roman" w:hAnsi="Times New Roman"/>
          <w:sz w:val="24"/>
        </w:rPr>
        <w:t>виконання</w:t>
      </w:r>
      <w:proofErr w:type="spellEnd"/>
      <w:r w:rsidRPr="009E0D8C">
        <w:rPr>
          <w:rFonts w:ascii="Times New Roman" w:hAnsi="Times New Roman"/>
          <w:sz w:val="24"/>
        </w:rPr>
        <w:t xml:space="preserve"> </w:t>
      </w:r>
      <w:proofErr w:type="spellStart"/>
      <w:r w:rsidRPr="009E0D8C">
        <w:rPr>
          <w:rFonts w:ascii="Times New Roman" w:hAnsi="Times New Roman"/>
          <w:sz w:val="24"/>
        </w:rPr>
        <w:t>робіт</w:t>
      </w:r>
      <w:proofErr w:type="spellEnd"/>
      <w:r w:rsidRPr="009E0D8C">
        <w:rPr>
          <w:rFonts w:ascii="Times New Roman" w:hAnsi="Times New Roman"/>
          <w:sz w:val="24"/>
        </w:rPr>
        <w:t xml:space="preserve">, </w:t>
      </w:r>
      <w:proofErr w:type="spellStart"/>
      <w:r w:rsidRPr="009E0D8C">
        <w:rPr>
          <w:rFonts w:ascii="Times New Roman" w:hAnsi="Times New Roman"/>
          <w:sz w:val="24"/>
        </w:rPr>
        <w:t>надання</w:t>
      </w:r>
      <w:proofErr w:type="spellEnd"/>
      <w:r w:rsidRPr="009E0D8C">
        <w:rPr>
          <w:rFonts w:ascii="Times New Roman" w:hAnsi="Times New Roman"/>
          <w:sz w:val="24"/>
        </w:rPr>
        <w:t xml:space="preserve"> </w:t>
      </w:r>
      <w:proofErr w:type="spellStart"/>
      <w:r w:rsidRPr="009E0D8C">
        <w:rPr>
          <w:rFonts w:ascii="Times New Roman" w:hAnsi="Times New Roman"/>
          <w:sz w:val="24"/>
        </w:rPr>
        <w:t>послуг</w:t>
      </w:r>
      <w:proofErr w:type="spellEnd"/>
      <w:r w:rsidRPr="009E0D8C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B50D54">
        <w:rPr>
          <w:rFonts w:ascii="Times New Roman" w:hAnsi="Times New Roman"/>
          <w:spacing w:val="1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sz w:val="24"/>
        </w:rPr>
        <w:t>протягом</w:t>
      </w:r>
      <w:proofErr w:type="spellEnd"/>
      <w:r>
        <w:rPr>
          <w:rFonts w:ascii="Times New Roman" w:hAnsi="Times New Roman"/>
          <w:sz w:val="24"/>
        </w:rPr>
        <w:t xml:space="preserve"> 90 </w:t>
      </w:r>
      <w:proofErr w:type="spellStart"/>
      <w:r>
        <w:rPr>
          <w:rFonts w:ascii="Times New Roman" w:hAnsi="Times New Roman"/>
          <w:sz w:val="24"/>
        </w:rPr>
        <w:t>календарних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днів</w:t>
      </w:r>
      <w:proofErr w:type="spellEnd"/>
      <w:r>
        <w:rPr>
          <w:rFonts w:ascii="Times New Roman" w:hAnsi="Times New Roman"/>
          <w:sz w:val="24"/>
        </w:rPr>
        <w:t xml:space="preserve"> з моменту початку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</w:t>
      </w:r>
      <w:proofErr w:type="gramStart"/>
      <w:r>
        <w:rPr>
          <w:rFonts w:ascii="Times New Roman" w:hAnsi="Times New Roman"/>
          <w:sz w:val="24"/>
        </w:rPr>
        <w:t>т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A90841" w:rsidRPr="00386856" w:rsidRDefault="00A90841" w:rsidP="00A90841">
      <w:pPr>
        <w:widowControl w:val="0"/>
        <w:numPr>
          <w:ilvl w:val="0"/>
          <w:numId w:val="11"/>
        </w:numPr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proofErr w:type="spellStart"/>
      <w:r w:rsidRPr="00386856">
        <w:rPr>
          <w:rFonts w:ascii="Times New Roman" w:hAnsi="Times New Roman"/>
          <w:sz w:val="24"/>
          <w:szCs w:val="24"/>
        </w:rPr>
        <w:t>Місце</w:t>
      </w:r>
      <w:proofErr w:type="spellEnd"/>
      <w:r w:rsidRPr="0038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поставки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E0D8C">
        <w:t xml:space="preserve"> </w:t>
      </w:r>
      <w:proofErr w:type="spellStart"/>
      <w:r w:rsidRPr="009E0D8C">
        <w:rPr>
          <w:rFonts w:ascii="Times New Roman" w:hAnsi="Times New Roman"/>
          <w:sz w:val="24"/>
        </w:rPr>
        <w:t>виконання</w:t>
      </w:r>
      <w:proofErr w:type="spellEnd"/>
      <w:r w:rsidRPr="009E0D8C">
        <w:rPr>
          <w:rFonts w:ascii="Times New Roman" w:hAnsi="Times New Roman"/>
          <w:sz w:val="24"/>
        </w:rPr>
        <w:t xml:space="preserve"> </w:t>
      </w:r>
      <w:proofErr w:type="spellStart"/>
      <w:r w:rsidRPr="009E0D8C">
        <w:rPr>
          <w:rFonts w:ascii="Times New Roman" w:hAnsi="Times New Roman"/>
          <w:sz w:val="24"/>
        </w:rPr>
        <w:t>робіт</w:t>
      </w:r>
      <w:proofErr w:type="spellEnd"/>
      <w:r w:rsidRPr="009E0D8C">
        <w:rPr>
          <w:rFonts w:ascii="Times New Roman" w:hAnsi="Times New Roman"/>
          <w:sz w:val="24"/>
        </w:rPr>
        <w:t xml:space="preserve">, </w:t>
      </w:r>
      <w:proofErr w:type="spellStart"/>
      <w:r w:rsidRPr="009E0D8C">
        <w:rPr>
          <w:rFonts w:ascii="Times New Roman" w:hAnsi="Times New Roman"/>
          <w:sz w:val="24"/>
        </w:rPr>
        <w:t>надання</w:t>
      </w:r>
      <w:proofErr w:type="spellEnd"/>
      <w:r w:rsidRPr="009E0D8C">
        <w:rPr>
          <w:rFonts w:ascii="Times New Roman" w:hAnsi="Times New Roman"/>
          <w:sz w:val="24"/>
        </w:rPr>
        <w:t xml:space="preserve"> </w:t>
      </w:r>
      <w:proofErr w:type="spellStart"/>
      <w:r w:rsidRPr="009E0D8C">
        <w:rPr>
          <w:rFonts w:ascii="Times New Roman" w:hAnsi="Times New Roman"/>
          <w:sz w:val="24"/>
        </w:rPr>
        <w:t>послуг</w:t>
      </w:r>
      <w:proofErr w:type="spellEnd"/>
      <w:r w:rsidRPr="009E0D8C">
        <w:rPr>
          <w:rFonts w:ascii="Times New Roman" w:hAnsi="Times New Roman"/>
          <w:sz w:val="28"/>
          <w:szCs w:val="24"/>
        </w:rPr>
        <w:t xml:space="preserve"> </w:t>
      </w:r>
      <w:r w:rsidRPr="00386856">
        <w:rPr>
          <w:rFonts w:ascii="Times New Roman" w:hAnsi="Times New Roman"/>
          <w:sz w:val="24"/>
          <w:szCs w:val="24"/>
        </w:rPr>
        <w:t>–</w:t>
      </w:r>
      <w:r w:rsidRPr="009E0D8C"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Миколаївська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 область,</w:t>
      </w:r>
      <w:r w:rsidRPr="0038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м.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Миколаїв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вул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Громадянська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 xml:space="preserve">, 40,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інд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  <w:t>. 54017</w:t>
      </w:r>
      <w:r w:rsidRPr="006F5C56">
        <w:rPr>
          <w:rFonts w:ascii="Times New Roman" w:hAnsi="Times New Roman"/>
          <w:sz w:val="24"/>
          <w:szCs w:val="24"/>
        </w:rPr>
        <w:t>.</w:t>
      </w:r>
    </w:p>
    <w:p w:rsidR="00A90841" w:rsidRPr="004D055A" w:rsidRDefault="00A90841" w:rsidP="00A90841">
      <w:pPr>
        <w:widowControl w:val="0"/>
        <w:numPr>
          <w:ilvl w:val="0"/>
          <w:numId w:val="11"/>
        </w:numPr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Стадія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робочій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0841" w:rsidRPr="004D055A" w:rsidRDefault="00A90841" w:rsidP="00A90841">
      <w:pPr>
        <w:tabs>
          <w:tab w:val="left" w:pos="0"/>
          <w:tab w:val="left" w:pos="725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A90841" w:rsidRDefault="00A90841" w:rsidP="00A90841">
      <w:pPr>
        <w:shd w:val="clear" w:color="auto" w:fill="FFFFFF"/>
        <w:tabs>
          <w:tab w:val="left" w:pos="0"/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D055A">
        <w:rPr>
          <w:rFonts w:ascii="Times New Roman" w:hAnsi="Times New Roman"/>
          <w:b/>
          <w:bCs/>
          <w:spacing w:val="-6"/>
          <w:sz w:val="24"/>
          <w:szCs w:val="24"/>
        </w:rPr>
        <w:t>II.</w:t>
      </w:r>
      <w:r w:rsidRPr="004D055A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Основні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показники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пропозиції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,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які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встановлюються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 xml:space="preserve"> за </w:t>
      </w:r>
      <w:proofErr w:type="spellStart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t>наступними</w:t>
      </w:r>
      <w:proofErr w:type="spellEnd"/>
      <w:r w:rsidRPr="004D055A">
        <w:rPr>
          <w:rFonts w:ascii="Times New Roman" w:hAnsi="Times New Roman"/>
          <w:b/>
          <w:bCs/>
          <w:spacing w:val="4"/>
          <w:sz w:val="24"/>
          <w:szCs w:val="24"/>
        </w:rPr>
        <w:br/>
      </w:r>
      <w:proofErr w:type="spellStart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фізичними</w:t>
      </w:r>
      <w:proofErr w:type="spellEnd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показниками</w:t>
      </w:r>
      <w:proofErr w:type="spellEnd"/>
      <w:r w:rsidRPr="004D055A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A90841" w:rsidRDefault="00A90841" w:rsidP="00A90841">
      <w:pPr>
        <w:shd w:val="clear" w:color="auto" w:fill="FFFFFF"/>
        <w:tabs>
          <w:tab w:val="left" w:pos="0"/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90841" w:rsidRPr="00093EDC" w:rsidRDefault="00A90841" w:rsidP="00A90841">
      <w:pPr>
        <w:pStyle w:val="a5"/>
        <w:numPr>
          <w:ilvl w:val="3"/>
          <w:numId w:val="12"/>
        </w:numPr>
        <w:shd w:val="clear" w:color="auto" w:fill="FFFFFF"/>
        <w:tabs>
          <w:tab w:val="clear" w:pos="2534"/>
          <w:tab w:val="left" w:pos="0"/>
          <w:tab w:val="left" w:pos="475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93EDC">
        <w:rPr>
          <w:rFonts w:ascii="Times New Roman" w:hAnsi="Times New Roman"/>
          <w:bCs/>
          <w:spacing w:val="-1"/>
          <w:sz w:val="24"/>
          <w:szCs w:val="24"/>
        </w:rPr>
        <w:t xml:space="preserve">Забезпечення розробки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проєкт</w:t>
      </w:r>
      <w:r w:rsidRPr="00093EDC">
        <w:rPr>
          <w:rFonts w:ascii="Times New Roman" w:hAnsi="Times New Roman"/>
          <w:bCs/>
          <w:spacing w:val="-1"/>
          <w:sz w:val="24"/>
          <w:szCs w:val="24"/>
        </w:rPr>
        <w:t>но</w:t>
      </w:r>
      <w:proofErr w:type="spellEnd"/>
      <w:r w:rsidRPr="00093EDC">
        <w:rPr>
          <w:rFonts w:ascii="Times New Roman" w:hAnsi="Times New Roman"/>
          <w:bCs/>
          <w:spacing w:val="-1"/>
          <w:sz w:val="24"/>
          <w:szCs w:val="24"/>
        </w:rPr>
        <w:t xml:space="preserve">-кошторисної документації </w:t>
      </w:r>
      <w:r w:rsidRPr="00093EDC">
        <w:rPr>
          <w:rFonts w:ascii="Times New Roman" w:hAnsi="Times New Roman"/>
          <w:sz w:val="24"/>
          <w:szCs w:val="24"/>
        </w:rPr>
        <w:t>по об’єкту «</w:t>
      </w:r>
      <w:r>
        <w:rPr>
          <w:rFonts w:ascii="Times New Roman" w:hAnsi="Times New Roman"/>
          <w:sz w:val="24"/>
          <w:szCs w:val="24"/>
        </w:rPr>
        <w:t xml:space="preserve">Реконструкція КЛ-6 кВ від РП-74 до ТП-669 Ф747, Ф741 в </w:t>
      </w:r>
      <w:proofErr w:type="spellStart"/>
      <w:r>
        <w:rPr>
          <w:rFonts w:ascii="Times New Roman" w:hAnsi="Times New Roman"/>
          <w:sz w:val="24"/>
          <w:szCs w:val="24"/>
        </w:rPr>
        <w:t>Інгульському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районі м. Миколаєва</w:t>
      </w:r>
      <w:r w:rsidRPr="00093EDC">
        <w:rPr>
          <w:rFonts w:ascii="Times New Roman" w:hAnsi="Times New Roman"/>
          <w:sz w:val="24"/>
          <w:szCs w:val="24"/>
        </w:rPr>
        <w:t xml:space="preserve">» відповідно завданню на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r w:rsidRPr="00093EDC">
        <w:rPr>
          <w:rFonts w:ascii="Times New Roman" w:hAnsi="Times New Roman"/>
          <w:sz w:val="24"/>
          <w:szCs w:val="24"/>
        </w:rPr>
        <w:t>ування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0841" w:rsidRPr="004D055A" w:rsidRDefault="00A90841" w:rsidP="00A908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90841" w:rsidRPr="00A90841" w:rsidRDefault="00A90841" w:rsidP="00A90841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ІІІ.</w:t>
      </w: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ab/>
      </w:r>
      <w:proofErr w:type="spellStart"/>
      <w:r w:rsidRPr="00A90841">
        <w:rPr>
          <w:rFonts w:ascii="Times New Roman" w:hAnsi="Times New Roman"/>
          <w:b/>
          <w:bCs/>
          <w:spacing w:val="-1"/>
          <w:sz w:val="24"/>
          <w:szCs w:val="24"/>
        </w:rPr>
        <w:t>Загальні</w:t>
      </w:r>
      <w:proofErr w:type="spellEnd"/>
      <w:r w:rsidRPr="00A9084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A90841">
        <w:rPr>
          <w:rFonts w:ascii="Times New Roman" w:hAnsi="Times New Roman"/>
          <w:b/>
          <w:bCs/>
          <w:spacing w:val="-1"/>
          <w:sz w:val="24"/>
          <w:szCs w:val="24"/>
        </w:rPr>
        <w:t>дані</w:t>
      </w:r>
      <w:proofErr w:type="spellEnd"/>
      <w:r w:rsidRPr="00A90841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Проєктування</w:t>
      </w:r>
      <w:proofErr w:type="spellEnd"/>
      <w:r>
        <w:rPr>
          <w:rFonts w:ascii="Times New Roman" w:hAnsi="Times New Roman"/>
          <w:sz w:val="24"/>
        </w:rPr>
        <w:t xml:space="preserve"> повинно відповідати нормам, правилам, державним стандартам та іншими нормативними актами та повинно забезпечити безпечну експлуатацію електроустановок при дотриманні передбачених </w:t>
      </w:r>
      <w:proofErr w:type="spellStart"/>
      <w:r>
        <w:rPr>
          <w:rFonts w:ascii="Times New Roman" w:hAnsi="Times New Roman"/>
          <w:sz w:val="24"/>
        </w:rPr>
        <w:t>проєктом</w:t>
      </w:r>
      <w:proofErr w:type="spellEnd"/>
      <w:r>
        <w:rPr>
          <w:rFonts w:ascii="Times New Roman" w:hAnsi="Times New Roman"/>
          <w:sz w:val="24"/>
        </w:rPr>
        <w:t xml:space="preserve"> заходів.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Згідно постанови КМУ №560 від 11.05.2011 (зі змінами) виконавець повинен отримати </w:t>
      </w:r>
      <w:r>
        <w:rPr>
          <w:rFonts w:ascii="Times New Roman" w:hAnsi="Times New Roman"/>
          <w:sz w:val="24"/>
          <w:szCs w:val="24"/>
        </w:rPr>
        <w:t xml:space="preserve">позитивний висновок експертизи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-кошторисної документації за власні кошти </w:t>
      </w:r>
      <w:r>
        <w:rPr>
          <w:rFonts w:ascii="Times New Roman" w:hAnsi="Times New Roman"/>
          <w:color w:val="000000"/>
          <w:sz w:val="24"/>
          <w:szCs w:val="24"/>
        </w:rPr>
        <w:t xml:space="preserve">у разі, якщо за класом наслідків (відповідальності) об'єкт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rvts0"/>
          <w:rFonts w:ascii="Times New Roman" w:hAnsi="Times New Roman"/>
          <w:sz w:val="24"/>
        </w:rPr>
        <w:t>належить до середніх (СС2) та значних (СС3) наслідків</w:t>
      </w:r>
      <w:r>
        <w:rPr>
          <w:rFonts w:ascii="Times New Roman" w:hAnsi="Times New Roman"/>
          <w:sz w:val="24"/>
          <w:szCs w:val="24"/>
        </w:rPr>
        <w:t xml:space="preserve">. Клас наслідків (відповідальності) визначається </w:t>
      </w:r>
      <w:proofErr w:type="spellStart"/>
      <w:r>
        <w:rPr>
          <w:rFonts w:ascii="Times New Roman" w:hAnsi="Times New Roman"/>
          <w:sz w:val="24"/>
          <w:szCs w:val="24"/>
        </w:rPr>
        <w:t>проєктною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документацією. </w:t>
      </w:r>
    </w:p>
    <w:p w:rsidR="00A90841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/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Також виконавець повинен надати висновки експертизи кошторисної частини </w:t>
      </w:r>
      <w:proofErr w:type="spellStart"/>
      <w:r>
        <w:rPr>
          <w:rFonts w:ascii="Times New Roman" w:hAnsi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об’єктах реконструкції, технічного переоснащення та нового будівництва загальною кошторисною вартістю від 2 млн грн (без ПДВ), незалежно від класу наслідків (відповідальності) до котрого належить об’єкт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Виконавець повинен сплачувати за всі узгодження, отримання технічних умов та інших документів, необхідних для виконання </w:t>
      </w:r>
      <w:proofErr w:type="spellStart"/>
      <w:r>
        <w:rPr>
          <w:rFonts w:ascii="Times New Roman" w:hAnsi="Times New Roman"/>
          <w:sz w:val="24"/>
        </w:rPr>
        <w:t>проєктних</w:t>
      </w:r>
      <w:proofErr w:type="spellEnd"/>
      <w:r>
        <w:rPr>
          <w:rFonts w:ascii="Times New Roman" w:hAnsi="Times New Roman"/>
          <w:sz w:val="24"/>
        </w:rPr>
        <w:t xml:space="preserve"> робіт (в разі необхідності).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-кошторисна документація повинна бути розроблена у відповідності з вимогами Державних будівельних норм: ДБН А.2.2-3:2014 «Склад та зміст </w:t>
      </w:r>
      <w:proofErr w:type="spellStart"/>
      <w:r>
        <w:rPr>
          <w:rFonts w:ascii="Times New Roman" w:hAnsi="Times New Roman"/>
          <w:sz w:val="24"/>
          <w:szCs w:val="24"/>
        </w:rPr>
        <w:t>проєктної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документації на будівництво», настанови з визначення вартості будівництва, затвердженої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01.11.2021 № 281 «Про затвердження кошторисних норм України у будівництві» та іншими відповідними правилами, нормами та стандартами та іншими відповідними правилами, нормами та стандартами.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Графічна частина </w:t>
      </w:r>
      <w:proofErr w:type="spellStart"/>
      <w:r>
        <w:rPr>
          <w:rFonts w:ascii="Times New Roman" w:hAnsi="Times New Roman"/>
          <w:sz w:val="24"/>
          <w:szCs w:val="28"/>
        </w:rPr>
        <w:t>проєкту</w:t>
      </w:r>
      <w:proofErr w:type="spellEnd"/>
      <w:r>
        <w:rPr>
          <w:rFonts w:ascii="Times New Roman" w:hAnsi="Times New Roman"/>
          <w:sz w:val="24"/>
          <w:szCs w:val="28"/>
        </w:rPr>
        <w:t xml:space="preserve"> має бути виконана в об'ємі, достатньому для проведення будівельно-монтажних, випробувальних і пусконалагоджувальних робіт.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Специфікації </w:t>
      </w:r>
      <w:proofErr w:type="spellStart"/>
      <w:r>
        <w:rPr>
          <w:rFonts w:ascii="Times New Roman" w:hAnsi="Times New Roman"/>
          <w:sz w:val="24"/>
          <w:szCs w:val="24"/>
        </w:rPr>
        <w:t>проєктної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документації мають бути виконані у відповідності ДСТУ В А.2.4-10:2009 «Правила виконання специфікації обладнання, виробів і матеріалів» в об'ємі, достатньому для комплектації і проведення будівельно-монтажних, оздоблювальних і </w:t>
      </w:r>
      <w:proofErr w:type="spellStart"/>
      <w:r>
        <w:rPr>
          <w:rFonts w:ascii="Times New Roman" w:hAnsi="Times New Roman"/>
          <w:sz w:val="24"/>
          <w:szCs w:val="24"/>
        </w:rPr>
        <w:t>пуско</w:t>
      </w:r>
      <w:proofErr w:type="spellEnd"/>
      <w:r>
        <w:rPr>
          <w:rFonts w:ascii="Times New Roman" w:hAnsi="Times New Roman"/>
          <w:sz w:val="24"/>
          <w:szCs w:val="24"/>
        </w:rPr>
        <w:t>-налагоджувальних робіт.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зобов’язаний розробити ПКД на українській мові, згідно Закону України №2704-VIII «Про забезпечення функціонування української мови як державної» від 16.07.2019.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підтвердження розрахунку вартості робіт, що виконуються у відповідності до завдання на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>, учасник надає у складі тендерної пропозиції в електронному вигляді наступні документи:</w:t>
      </w:r>
    </w:p>
    <w:p w:rsidR="00A90841" w:rsidRDefault="00A90841" w:rsidP="00A9084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Комерційна пропозиція, яка повинна включати загальну вартість з урахуванням виконання всіх пунктів Завдання на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отриманням позитивного  експертного звіту.</w:t>
      </w:r>
    </w:p>
    <w:p w:rsidR="00A90841" w:rsidRDefault="00A90841" w:rsidP="00A9084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Зведений кошторис та кошториси з інженерного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проєктних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-вишукувальних або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-кошторисних робіт розроблений згідно настанови з визначення вартості проектних, науково-проектних, вишукувальних робіт та експертизи проектної документації на будівництво», затвердженої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01.11.2021 № 281 «Про затвердження кошторисних норм України у будівництві».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Переможець торгів у строк, що не перевищує 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робочих</w:t>
      </w:r>
      <w:proofErr w:type="spellEnd"/>
      <w:r>
        <w:rPr>
          <w:rFonts w:ascii="Times New Roman" w:hAnsi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договір, підтверджує вартість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-вишукувальних робіт, що виконуються у відповідності до завдання на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>, шляхом надання Замовнику наступних документів, приведених у відповідність до результатів проведеного аукціону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90841" w:rsidRDefault="00A90841" w:rsidP="00A90841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/>
        <w:ind w:hanging="3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Комерційна пропозиція, яка повинна включати загальну вартість з урахуванням виконання всіх пунктів Завдання на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отриманням позитивного  експертного звіту.</w:t>
      </w:r>
    </w:p>
    <w:p w:rsidR="00A90841" w:rsidRDefault="00A90841" w:rsidP="00A90841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/>
        <w:ind w:hanging="3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Зведений кошторис та кошториси з інженерного </w:t>
      </w:r>
      <w:proofErr w:type="spellStart"/>
      <w:r>
        <w:rPr>
          <w:rFonts w:ascii="Times New Roman" w:hAnsi="Times New Roman"/>
          <w:sz w:val="24"/>
          <w:szCs w:val="24"/>
        </w:rPr>
        <w:t>проєктування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проєктних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 xml:space="preserve">-вишукувальних або </w:t>
      </w:r>
      <w:proofErr w:type="spellStart"/>
      <w:r>
        <w:rPr>
          <w:rFonts w:ascii="Times New Roman" w:hAnsi="Times New Roman"/>
          <w:sz w:val="24"/>
          <w:szCs w:val="24"/>
        </w:rPr>
        <w:t>проєктно</w:t>
      </w:r>
      <w:proofErr w:type="spellEnd"/>
      <w:r>
        <w:rPr>
          <w:rFonts w:ascii="Times New Roman" w:hAnsi="Times New Roman"/>
          <w:sz w:val="24"/>
          <w:szCs w:val="24"/>
        </w:rPr>
        <w:t>-кошторисних робіт (в електронному та паперовому вигляді)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Виконавець повинен мати у штатному розкладі працівника, який має кваліфікаційний сертифікат (учасник надає у складі пропозиції скановану копію з оригіналу) окремих видів робіт (послуг), пов’язаних зі створенням об’єктів архітектури (діючий впродовж 2022 року). 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0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Наявність документально підтвердженого досвіду виконання аналогічного договору.</w:t>
      </w:r>
    </w:p>
    <w:p w:rsidR="00A90841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Скановані оригінали  або копії  аналогічних договорів (не менше двох), складених  не раніше 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року з усіма додатками, що є невід’ємною частиною договору (у разі наявності). Допускається відсутність окремих сторінок договору та/або додатків до нього, у випадку якщо зміст відсутніх сторінок не впливає на можливість Замовника упевнитися, що наданий договір є аналогічним, і що надані відгуки стосуються безпосередньо наданого договору. </w:t>
      </w:r>
      <w:r>
        <w:rPr>
          <w:rFonts w:ascii="Times New Roman" w:hAnsi="Times New Roman"/>
          <w:sz w:val="24"/>
        </w:rPr>
        <w:br/>
        <w:t xml:space="preserve">Аналогічним буде вважатися договір предметом якого є виконання </w:t>
      </w:r>
      <w:proofErr w:type="spellStart"/>
      <w:r>
        <w:rPr>
          <w:rFonts w:ascii="Times New Roman" w:hAnsi="Times New Roman"/>
          <w:sz w:val="24"/>
        </w:rPr>
        <w:t>проєктно</w:t>
      </w:r>
      <w:proofErr w:type="spellEnd"/>
      <w:r>
        <w:rPr>
          <w:rFonts w:ascii="Times New Roman" w:hAnsi="Times New Roman"/>
          <w:sz w:val="24"/>
        </w:rPr>
        <w:t xml:space="preserve">-кошторисної документації, виготовлення робочого </w:t>
      </w:r>
      <w:proofErr w:type="spellStart"/>
      <w:r>
        <w:rPr>
          <w:rFonts w:ascii="Times New Roman" w:hAnsi="Times New Roman"/>
          <w:sz w:val="24"/>
        </w:rPr>
        <w:t>проєкту</w:t>
      </w:r>
      <w:proofErr w:type="spellEnd"/>
      <w:r>
        <w:rPr>
          <w:rFonts w:ascii="Times New Roman" w:hAnsi="Times New Roman"/>
          <w:sz w:val="24"/>
        </w:rPr>
        <w:t xml:space="preserve">, робіт з інженерного </w:t>
      </w:r>
      <w:proofErr w:type="spellStart"/>
      <w:r>
        <w:rPr>
          <w:rFonts w:ascii="Times New Roman" w:hAnsi="Times New Roman"/>
          <w:sz w:val="24"/>
        </w:rPr>
        <w:lastRenderedPageBreak/>
        <w:t>проєктування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проєктних</w:t>
      </w:r>
      <w:proofErr w:type="spellEnd"/>
      <w:r>
        <w:rPr>
          <w:rFonts w:ascii="Times New Roman" w:hAnsi="Times New Roman"/>
          <w:sz w:val="24"/>
        </w:rPr>
        <w:t xml:space="preserve"> або </w:t>
      </w:r>
      <w:proofErr w:type="spellStart"/>
      <w:r>
        <w:rPr>
          <w:rFonts w:ascii="Times New Roman" w:hAnsi="Times New Roman"/>
          <w:sz w:val="24"/>
        </w:rPr>
        <w:t>проєктно</w:t>
      </w:r>
      <w:proofErr w:type="spellEnd"/>
      <w:r>
        <w:rPr>
          <w:rFonts w:ascii="Times New Roman" w:hAnsi="Times New Roman"/>
          <w:sz w:val="24"/>
        </w:rPr>
        <w:t>–вишукувальних робіт з будівництва, реконструкції, технічного переоснащення електричних мереж класом напруги від 6 кВ до 150 кВ.</w:t>
      </w:r>
    </w:p>
    <w:p w:rsidR="00A90841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Додатково надаються скановані оригінали  або копії  відгуків (не менше двох)  щодо виконання вищезазначених договорів, наданих третіми особами не раніше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>р. Відгук  надається окремо на кожен з наданих договорів (тобто 2 відгуки). Відгук має містити інформацію про назву предмету закупівлі (відповідно до договору), дату і номер договору (на який надано відгук) та інформацію про належне виконання договору, у тому числі стосовно якості та строків.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142"/>
          <w:tab w:val="left" w:pos="567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Під час періоду уточнення закупівлі учасник повинен обов’язково відвідати об’єкт та скласти акт обстеження об'єкту, погодити акт з Замовником та надати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-копію цього акту у складі своєї пропозиції.</w:t>
      </w:r>
    </w:p>
    <w:p w:rsidR="00A90841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  <w:tab w:val="left" w:pos="142"/>
          <w:tab w:val="left" w:pos="567"/>
        </w:tabs>
        <w:spacing w:after="0"/>
        <w:ind w:left="142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Російської Федерації, і щодо яких застосовані санкції та які знаходяться у переліку осіб, до яких застосовуються санкції. При цьому, під час проведення закупівлі будуть  враховані чинні Укази Президента України № 133/2017 «Про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 та № 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(санкцій)». Закупівля товарів, робіт і послуг не буде здійснюватися у разі порушення такою закупівлею заборони, встановленої Постановою Кабінету Міністрів України від 30 грудня 2015 року № 1147 «Про заборону ввезення на митну територію України товарів, що походять з Російської Федерації» (надати гарантійний лист про незастосування таких санкцій).</w:t>
      </w:r>
    </w:p>
    <w:p w:rsidR="00A90841" w:rsidRPr="00195B97" w:rsidRDefault="00A90841" w:rsidP="00A90841">
      <w:pPr>
        <w:pStyle w:val="a5"/>
        <w:numPr>
          <w:ilvl w:val="3"/>
          <w:numId w:val="14"/>
        </w:numPr>
        <w:shd w:val="clear" w:color="auto" w:fill="FFFFFF"/>
        <w:tabs>
          <w:tab w:val="clear" w:pos="2534"/>
        </w:tabs>
        <w:spacing w:after="0" w:line="240" w:lineRule="auto"/>
        <w:ind w:left="0" w:firstLine="18"/>
        <w:jc w:val="both"/>
        <w:rPr>
          <w:rFonts w:ascii="Times New Roman" w:hAnsi="Times New Roman"/>
          <w:sz w:val="24"/>
          <w:szCs w:val="24"/>
        </w:rPr>
      </w:pPr>
      <w:r w:rsidRPr="00195B97">
        <w:rPr>
          <w:rFonts w:ascii="Times New Roman" w:hAnsi="Times New Roman"/>
          <w:sz w:val="24"/>
          <w:szCs w:val="24"/>
        </w:rPr>
        <w:t>Поданням своєї тендерної пропозиції для участі в даній закупівлі учасник підтверджує (надати гарантійні листи):</w:t>
      </w:r>
    </w:p>
    <w:p w:rsidR="00A90841" w:rsidRPr="00195B97" w:rsidRDefault="00A90841" w:rsidP="00A90841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95B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95B97">
        <w:rPr>
          <w:rFonts w:ascii="Times New Roman" w:hAnsi="Times New Roman"/>
          <w:sz w:val="24"/>
          <w:szCs w:val="24"/>
        </w:rPr>
        <w:t>достовірність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B97">
        <w:rPr>
          <w:rFonts w:ascii="Times New Roman" w:hAnsi="Times New Roman"/>
          <w:sz w:val="24"/>
          <w:szCs w:val="24"/>
        </w:rPr>
        <w:t>зазначеної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B97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195B97">
        <w:rPr>
          <w:rFonts w:ascii="Times New Roman" w:hAnsi="Times New Roman"/>
          <w:sz w:val="24"/>
          <w:szCs w:val="24"/>
        </w:rPr>
        <w:t>подання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своєї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95B97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B97">
        <w:rPr>
          <w:rFonts w:ascii="Times New Roman" w:hAnsi="Times New Roman"/>
          <w:sz w:val="24"/>
          <w:szCs w:val="24"/>
        </w:rPr>
        <w:t>чинного</w:t>
      </w:r>
      <w:proofErr w:type="gram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95B97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актів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; </w:t>
      </w:r>
    </w:p>
    <w:p w:rsidR="00A90841" w:rsidRPr="009333A7" w:rsidRDefault="00A90841" w:rsidP="00A90841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95B97">
        <w:rPr>
          <w:rFonts w:ascii="Times New Roman" w:hAnsi="Times New Roman"/>
          <w:sz w:val="24"/>
          <w:szCs w:val="24"/>
        </w:rPr>
        <w:t xml:space="preserve">- надання повної і беззаперечної згоди учасника з усіма умовами, що вказані в </w:t>
      </w:r>
      <w:proofErr w:type="spellStart"/>
      <w:r w:rsidRPr="00195B97">
        <w:rPr>
          <w:rFonts w:ascii="Times New Roman" w:hAnsi="Times New Roman"/>
          <w:sz w:val="24"/>
          <w:szCs w:val="24"/>
        </w:rPr>
        <w:t>проєкті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договору до тендерної документації та взяття зобов'язання укласти договір про закупівлю у відповідності до Закону «Про публічні закупівлі» у повній відповідності до </w:t>
      </w:r>
      <w:proofErr w:type="spellStart"/>
      <w:r w:rsidRPr="00195B97">
        <w:rPr>
          <w:rFonts w:ascii="Times New Roman" w:hAnsi="Times New Roman"/>
          <w:sz w:val="24"/>
          <w:szCs w:val="24"/>
        </w:rPr>
        <w:t>проєкту</w:t>
      </w:r>
      <w:proofErr w:type="spellEnd"/>
      <w:r w:rsidRPr="00195B97">
        <w:rPr>
          <w:rFonts w:ascii="Times New Roman" w:hAnsi="Times New Roman"/>
          <w:sz w:val="24"/>
          <w:szCs w:val="24"/>
        </w:rPr>
        <w:t xml:space="preserve"> договору про закупівлю.</w:t>
      </w:r>
    </w:p>
    <w:p w:rsidR="00A90841" w:rsidRDefault="00A90841" w:rsidP="00A90841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.  Учасник повинен надати в електронному (сканованому в форматі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) вигляді у складі своєї пропозиції документи, які зазначені замовником у документації про проведення спрощеної закупівлі. 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третьої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/>
          <w:sz w:val="24"/>
          <w:szCs w:val="24"/>
        </w:rPr>
        <w:t xml:space="preserve"> 12 Закону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електронний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документообіг</w:t>
      </w:r>
      <w:proofErr w:type="spellEnd"/>
      <w:r>
        <w:rPr>
          <w:rFonts w:ascii="Times New Roman" w:hAnsi="Times New Roman"/>
          <w:sz w:val="24"/>
          <w:szCs w:val="24"/>
        </w:rPr>
        <w:t xml:space="preserve">» та «Про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довірчі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створює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кваліфікованим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КЕП)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загальнодоступних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програмних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комплексів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https://acskidd.gov.ua/sign.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довільній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відображати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фірмововий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бланк –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бланків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відтиск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печатки 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печаткою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 через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КЕП. 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ідприємств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завантажуються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файлом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КЕП/УЕП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посадової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підприємств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яка видала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КЕП/УЕП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посадової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ідприємств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яка видала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КЕП/УЕП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перевіряє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сайті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центрального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засвідчувального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посиланням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https://czo.gov.ua/verify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0841" w:rsidRDefault="00A90841" w:rsidP="00A90841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перевірки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відображатися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ключа). </w:t>
      </w:r>
    </w:p>
    <w:p w:rsidR="00A90841" w:rsidRDefault="00A90841" w:rsidP="00A90841">
      <w:pPr>
        <w:pStyle w:val="a5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A90841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90841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</w:p>
    <w:p w:rsidR="00A90841" w:rsidRPr="004D055A" w:rsidRDefault="00A90841" w:rsidP="00A90841">
      <w:pPr>
        <w:pStyle w:val="a5"/>
        <w:shd w:val="clear" w:color="auto" w:fill="FFFFFF"/>
        <w:tabs>
          <w:tab w:val="left" w:pos="0"/>
          <w:tab w:val="left" w:pos="567"/>
        </w:tabs>
        <w:spacing w:after="0"/>
        <w:ind w:left="142"/>
        <w:jc w:val="both"/>
      </w:pPr>
    </w:p>
    <w:p w:rsidR="00D12920" w:rsidRPr="00A90841" w:rsidRDefault="00D12920" w:rsidP="00D12920">
      <w:pPr>
        <w:widowControl w:val="0"/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2920" w:rsidRPr="00911504" w:rsidRDefault="00D12920" w:rsidP="00D12920">
      <w:pPr>
        <w:pStyle w:val="a5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D12920" w:rsidRPr="00B94F53" w:rsidRDefault="00D12920" w:rsidP="00D12920">
      <w:pPr>
        <w:pStyle w:val="a5"/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9082E" w:rsidRPr="000C14A7" w:rsidRDefault="000C14A7" w:rsidP="000C14A7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br w:type="page"/>
      </w:r>
    </w:p>
    <w:p w:rsidR="00844B98" w:rsidRPr="000F171D" w:rsidRDefault="00844B98" w:rsidP="00844B98">
      <w:pPr>
        <w:spacing w:after="0"/>
        <w:ind w:left="-56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  <w:lastRenderedPageBreak/>
        <w:t>Додаток</w:t>
      </w:r>
      <w:r w:rsidR="00557E1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  <w:t xml:space="preserve"> 2</w:t>
      </w:r>
    </w:p>
    <w:p w:rsidR="00844B98" w:rsidRPr="000F171D" w:rsidRDefault="00844B98" w:rsidP="00844B98">
      <w:pPr>
        <w:spacing w:after="0"/>
        <w:ind w:left="7200" w:right="-20" w:hanging="18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  <w:t xml:space="preserve"> </w:t>
      </w:r>
    </w:p>
    <w:p w:rsidR="00844B98" w:rsidRPr="000F171D" w:rsidRDefault="00844B98" w:rsidP="00844B9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  <w:t>ФОРМА " ПРОПОЗИЦІЯ "</w:t>
      </w:r>
    </w:p>
    <w:p w:rsidR="00844B98" w:rsidRPr="000F171D" w:rsidRDefault="00844B98" w:rsidP="00844B98">
      <w:pPr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"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" w:eastAsia="ru-RU"/>
        </w:rPr>
        <w:t>на</w:t>
      </w:r>
      <w:r w:rsidRPr="000F17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" w:eastAsia="ru-RU"/>
        </w:rPr>
        <w:t xml:space="preserve">дається Учасником  на фірмовому бланку </w:t>
      </w:r>
      <w:r w:rsidRPr="000F171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" w:eastAsia="ru-RU"/>
        </w:rPr>
        <w:t>(за наявності)</w:t>
      </w:r>
      <w:r w:rsidRPr="000F17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" w:eastAsia="ru-RU"/>
        </w:rPr>
        <w:t>)</w:t>
      </w:r>
    </w:p>
    <w:p w:rsidR="00844B98" w:rsidRPr="000F171D" w:rsidRDefault="00844B98" w:rsidP="00844B98">
      <w:pPr>
        <w:spacing w:after="0"/>
        <w:ind w:left="360" w:right="-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</w:p>
    <w:p w:rsidR="00844B98" w:rsidRPr="000F171D" w:rsidRDefault="00844B98" w:rsidP="00844B9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  <w:t>_____________________ (</w:t>
      </w:r>
      <w:r w:rsidRPr="000F171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" w:eastAsia="ru-RU"/>
        </w:rPr>
        <w:t>Учасник</w:t>
      </w:r>
      <w:r w:rsidRPr="000F171D"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  <w:t xml:space="preserve">) надає свою пропозицію для участі у торгах на закупівлю –  ___________________________________(зазначається назва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  <w:t>предмету закупівлі</w:t>
      </w:r>
      <w:r w:rsidRPr="000F171D"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  <w:t>).</w:t>
      </w:r>
    </w:p>
    <w:p w:rsidR="00844B98" w:rsidRPr="000F171D" w:rsidRDefault="00844B98" w:rsidP="00844B9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sz w:val="24"/>
          <w:szCs w:val="24"/>
          <w:highlight w:val="white"/>
          <w:lang w:val="uk" w:eastAsia="ru-RU"/>
        </w:rPr>
        <w:t>Вивчивши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суму _______________________________________________ грн (з ПДВ/без ПДВ).</w:t>
      </w:r>
    </w:p>
    <w:p w:rsidR="00844B98" w:rsidRPr="000F171D" w:rsidRDefault="00844B98" w:rsidP="00844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</w:pPr>
      <w:r w:rsidRPr="000F171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" w:eastAsia="ru-RU"/>
        </w:rPr>
        <w:t>Посада, ім'я, прізвище, підпис уповноваженої особи Учасника, завірені печаткою.</w:t>
      </w:r>
    </w:p>
    <w:p w:rsidR="004551B4" w:rsidRPr="00844B98" w:rsidRDefault="004551B4">
      <w:pPr>
        <w:rPr>
          <w:lang w:val="uk"/>
        </w:rPr>
      </w:pPr>
    </w:p>
    <w:sectPr w:rsidR="004551B4" w:rsidRPr="0084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DB"/>
    <w:multiLevelType w:val="singleLevel"/>
    <w:tmpl w:val="C8668D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11063FAF"/>
    <w:multiLevelType w:val="hybridMultilevel"/>
    <w:tmpl w:val="775CA1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486191"/>
    <w:multiLevelType w:val="hybridMultilevel"/>
    <w:tmpl w:val="93D262A8"/>
    <w:lvl w:ilvl="0" w:tplc="6D78FC1A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3A93572B"/>
    <w:multiLevelType w:val="hybridMultilevel"/>
    <w:tmpl w:val="59DE3584"/>
    <w:lvl w:ilvl="0" w:tplc="09C4280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A10277"/>
    <w:multiLevelType w:val="multilevel"/>
    <w:tmpl w:val="B250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0F65"/>
    <w:multiLevelType w:val="hybridMultilevel"/>
    <w:tmpl w:val="151E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D4C05"/>
    <w:multiLevelType w:val="hybridMultilevel"/>
    <w:tmpl w:val="2A4E703A"/>
    <w:lvl w:ilvl="0" w:tplc="24C85038">
      <w:start w:val="10"/>
      <w:numFmt w:val="bullet"/>
      <w:lvlText w:val="-"/>
      <w:lvlJc w:val="left"/>
      <w:pPr>
        <w:tabs>
          <w:tab w:val="num" w:pos="734"/>
        </w:tabs>
        <w:ind w:left="734" w:hanging="720"/>
      </w:pPr>
      <w:rPr>
        <w:rFonts w:ascii="Calibri" w:eastAsia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4E0E4380"/>
    <w:multiLevelType w:val="hybridMultilevel"/>
    <w:tmpl w:val="0002ACE0"/>
    <w:lvl w:ilvl="0" w:tplc="24C8503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B5708"/>
    <w:multiLevelType w:val="hybridMultilevel"/>
    <w:tmpl w:val="5E7048F2"/>
    <w:lvl w:ilvl="0" w:tplc="CB38C53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2537"/>
    <w:multiLevelType w:val="hybridMultilevel"/>
    <w:tmpl w:val="1684199E"/>
    <w:lvl w:ilvl="0" w:tplc="BE4CD9B8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AED6F5B"/>
    <w:multiLevelType w:val="multilevel"/>
    <w:tmpl w:val="6FDA5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44F15"/>
    <w:multiLevelType w:val="hybridMultilevel"/>
    <w:tmpl w:val="D9260B94"/>
    <w:lvl w:ilvl="0" w:tplc="4BBCF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97713"/>
    <w:multiLevelType w:val="hybridMultilevel"/>
    <w:tmpl w:val="EFF4F1E4"/>
    <w:lvl w:ilvl="0" w:tplc="0419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90DC3"/>
    <w:multiLevelType w:val="hybridMultilevel"/>
    <w:tmpl w:val="68EEC9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98"/>
    <w:rsid w:val="0001305A"/>
    <w:rsid w:val="000142D1"/>
    <w:rsid w:val="00066EED"/>
    <w:rsid w:val="000721F3"/>
    <w:rsid w:val="0008480E"/>
    <w:rsid w:val="000B60E7"/>
    <w:rsid w:val="000C0FA3"/>
    <w:rsid w:val="000C14A7"/>
    <w:rsid w:val="000D249E"/>
    <w:rsid w:val="00166E05"/>
    <w:rsid w:val="0018604D"/>
    <w:rsid w:val="00197D88"/>
    <w:rsid w:val="001C5F2E"/>
    <w:rsid w:val="001D3855"/>
    <w:rsid w:val="001D7DF6"/>
    <w:rsid w:val="001F425A"/>
    <w:rsid w:val="00227A34"/>
    <w:rsid w:val="00244A9F"/>
    <w:rsid w:val="00245ED8"/>
    <w:rsid w:val="00260121"/>
    <w:rsid w:val="002F32C0"/>
    <w:rsid w:val="002F6CB5"/>
    <w:rsid w:val="00337434"/>
    <w:rsid w:val="00346B3B"/>
    <w:rsid w:val="00356311"/>
    <w:rsid w:val="00371581"/>
    <w:rsid w:val="00383C67"/>
    <w:rsid w:val="003F5AC1"/>
    <w:rsid w:val="00407F37"/>
    <w:rsid w:val="004176FD"/>
    <w:rsid w:val="00446073"/>
    <w:rsid w:val="004551B4"/>
    <w:rsid w:val="004C6E98"/>
    <w:rsid w:val="004D37AA"/>
    <w:rsid w:val="004E26AD"/>
    <w:rsid w:val="004F1726"/>
    <w:rsid w:val="00557E1E"/>
    <w:rsid w:val="0056622B"/>
    <w:rsid w:val="005778BB"/>
    <w:rsid w:val="00580D32"/>
    <w:rsid w:val="005B643F"/>
    <w:rsid w:val="0066609F"/>
    <w:rsid w:val="00685D75"/>
    <w:rsid w:val="006B37E7"/>
    <w:rsid w:val="006E3957"/>
    <w:rsid w:val="00720301"/>
    <w:rsid w:val="00732896"/>
    <w:rsid w:val="007370EB"/>
    <w:rsid w:val="007376AA"/>
    <w:rsid w:val="007463E5"/>
    <w:rsid w:val="0079082E"/>
    <w:rsid w:val="00790EF5"/>
    <w:rsid w:val="007913B4"/>
    <w:rsid w:val="007A03C0"/>
    <w:rsid w:val="007B0D72"/>
    <w:rsid w:val="007C1955"/>
    <w:rsid w:val="007D0116"/>
    <w:rsid w:val="007D7FA5"/>
    <w:rsid w:val="00844B98"/>
    <w:rsid w:val="00864474"/>
    <w:rsid w:val="00890AB4"/>
    <w:rsid w:val="0089536F"/>
    <w:rsid w:val="008B07D8"/>
    <w:rsid w:val="008C7348"/>
    <w:rsid w:val="009044BF"/>
    <w:rsid w:val="00912D7C"/>
    <w:rsid w:val="0097391F"/>
    <w:rsid w:val="009740BA"/>
    <w:rsid w:val="0099195E"/>
    <w:rsid w:val="009A526F"/>
    <w:rsid w:val="009D57D6"/>
    <w:rsid w:val="00A11E49"/>
    <w:rsid w:val="00A154D7"/>
    <w:rsid w:val="00A2416C"/>
    <w:rsid w:val="00A253AC"/>
    <w:rsid w:val="00A460D7"/>
    <w:rsid w:val="00A76E2C"/>
    <w:rsid w:val="00A90841"/>
    <w:rsid w:val="00AB4CD4"/>
    <w:rsid w:val="00AC68A3"/>
    <w:rsid w:val="00AE0454"/>
    <w:rsid w:val="00AF14D1"/>
    <w:rsid w:val="00B27879"/>
    <w:rsid w:val="00B3087D"/>
    <w:rsid w:val="00B505A0"/>
    <w:rsid w:val="00B81283"/>
    <w:rsid w:val="00BD14D1"/>
    <w:rsid w:val="00BE224D"/>
    <w:rsid w:val="00C0027A"/>
    <w:rsid w:val="00C111ED"/>
    <w:rsid w:val="00C20E13"/>
    <w:rsid w:val="00C3420C"/>
    <w:rsid w:val="00C35633"/>
    <w:rsid w:val="00C40561"/>
    <w:rsid w:val="00C67B13"/>
    <w:rsid w:val="00C801FF"/>
    <w:rsid w:val="00CA2533"/>
    <w:rsid w:val="00CA2BCE"/>
    <w:rsid w:val="00CC52D3"/>
    <w:rsid w:val="00CC68C6"/>
    <w:rsid w:val="00CE6C06"/>
    <w:rsid w:val="00CF64C2"/>
    <w:rsid w:val="00D0421E"/>
    <w:rsid w:val="00D12920"/>
    <w:rsid w:val="00D17129"/>
    <w:rsid w:val="00D42B4F"/>
    <w:rsid w:val="00D70584"/>
    <w:rsid w:val="00D70DAD"/>
    <w:rsid w:val="00D8698E"/>
    <w:rsid w:val="00D94323"/>
    <w:rsid w:val="00DA7060"/>
    <w:rsid w:val="00DE3C99"/>
    <w:rsid w:val="00E17F85"/>
    <w:rsid w:val="00E22CA4"/>
    <w:rsid w:val="00E23E47"/>
    <w:rsid w:val="00E615D3"/>
    <w:rsid w:val="00E86D83"/>
    <w:rsid w:val="00F13A00"/>
    <w:rsid w:val="00F35B99"/>
    <w:rsid w:val="00F51CB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44B98"/>
    <w:rPr>
      <w:rFonts w:ascii="Times New Roman" w:eastAsia="Times New Roman" w:hAnsi="Times New Roman" w:cs="Times New Roman"/>
      <w:b/>
      <w:sz w:val="24"/>
      <w:szCs w:val="24"/>
      <w:lang w:val="uk" w:eastAsia="ru-RU"/>
    </w:rPr>
  </w:style>
  <w:style w:type="character" w:styleId="a3">
    <w:name w:val="Hyperlink"/>
    <w:basedOn w:val="a0"/>
    <w:uiPriority w:val="99"/>
    <w:unhideWhenUsed/>
    <w:rsid w:val="001D7D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F17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F1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Обычный1"/>
    <w:rsid w:val="004F172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Обычный11"/>
    <w:rsid w:val="004F172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HTML">
    <w:name w:val="HTML Preformatted"/>
    <w:basedOn w:val="a"/>
    <w:link w:val="HTML0"/>
    <w:rsid w:val="00DE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C99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item-deliveryaddressstreetaddress">
    <w:name w:val="item-deliveryaddress.streetaddress"/>
    <w:rsid w:val="00DE3C99"/>
  </w:style>
  <w:style w:type="paragraph" w:customStyle="1" w:styleId="2">
    <w:name w:val="Основной текст (2)"/>
    <w:basedOn w:val="a"/>
    <w:next w:val="a"/>
    <w:rsid w:val="000C0FA3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character" w:customStyle="1" w:styleId="rvts0">
    <w:name w:val="rvts0"/>
    <w:basedOn w:val="a0"/>
    <w:rsid w:val="000C14A7"/>
  </w:style>
  <w:style w:type="character" w:customStyle="1" w:styleId="a6">
    <w:name w:val="Абзац списка Знак"/>
    <w:link w:val="a5"/>
    <w:uiPriority w:val="34"/>
    <w:locked/>
    <w:rsid w:val="000C14A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44B98"/>
    <w:rPr>
      <w:rFonts w:ascii="Times New Roman" w:eastAsia="Times New Roman" w:hAnsi="Times New Roman" w:cs="Times New Roman"/>
      <w:b/>
      <w:sz w:val="24"/>
      <w:szCs w:val="24"/>
      <w:lang w:val="uk" w:eastAsia="ru-RU"/>
    </w:rPr>
  </w:style>
  <w:style w:type="character" w:styleId="a3">
    <w:name w:val="Hyperlink"/>
    <w:basedOn w:val="a0"/>
    <w:uiPriority w:val="99"/>
    <w:unhideWhenUsed/>
    <w:rsid w:val="001D7D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F17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F1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Обычный1"/>
    <w:rsid w:val="004F172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Обычный11"/>
    <w:rsid w:val="004F172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HTML">
    <w:name w:val="HTML Preformatted"/>
    <w:basedOn w:val="a"/>
    <w:link w:val="HTML0"/>
    <w:rsid w:val="00DE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C99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item-deliveryaddressstreetaddress">
    <w:name w:val="item-deliveryaddress.streetaddress"/>
    <w:rsid w:val="00DE3C99"/>
  </w:style>
  <w:style w:type="paragraph" w:customStyle="1" w:styleId="2">
    <w:name w:val="Основной текст (2)"/>
    <w:basedOn w:val="a"/>
    <w:next w:val="a"/>
    <w:rsid w:val="000C0FA3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character" w:customStyle="1" w:styleId="rvts0">
    <w:name w:val="rvts0"/>
    <w:basedOn w:val="a0"/>
    <w:rsid w:val="000C14A7"/>
  </w:style>
  <w:style w:type="character" w:customStyle="1" w:styleId="a6">
    <w:name w:val="Абзац списка Знак"/>
    <w:link w:val="a5"/>
    <w:uiPriority w:val="34"/>
    <w:locked/>
    <w:rsid w:val="000C14A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o.gov.ua/verif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01D2-E9F8-4187-A99A-5B05505E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Світлана Володимирівна</dc:creator>
  <cp:lastModifiedBy>Гадомський Станіслав Вікторович</cp:lastModifiedBy>
  <cp:revision>74</cp:revision>
  <dcterms:created xsi:type="dcterms:W3CDTF">2021-06-18T10:22:00Z</dcterms:created>
  <dcterms:modified xsi:type="dcterms:W3CDTF">2022-06-24T12:35:00Z</dcterms:modified>
</cp:coreProperties>
</file>