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83AF" w14:textId="10186D74" w:rsidR="0087610E" w:rsidRDefault="00C46416" w:rsidP="0087610E">
      <w:pPr>
        <w:jc w:val="center"/>
        <w:rPr>
          <w:rFonts w:ascii="Times New Roman" w:hAnsi="Times New Roman" w:cs="Times New Roman"/>
          <w:b/>
          <w:sz w:val="40"/>
          <w:szCs w:val="40"/>
        </w:rPr>
      </w:pPr>
      <w:r w:rsidRPr="00C236E5">
        <w:rPr>
          <w:rFonts w:ascii="Times New Roman" w:hAnsi="Times New Roman" w:cs="Times New Roman"/>
          <w:b/>
          <w:bCs/>
          <w:iCs/>
          <w:color w:val="000000"/>
          <w:sz w:val="32"/>
          <w:lang w:eastAsia="ru-RU"/>
        </w:rPr>
        <w:t>ВИНОГРАДІВСЬКИЙ ПСИХОНЕВРОЛОГІЧНИЙ ІНТЕРНАТ</w:t>
      </w:r>
    </w:p>
    <w:p w14:paraId="142BA58E" w14:textId="77777777" w:rsidR="00C46416" w:rsidRDefault="00C46416" w:rsidP="0087610E">
      <w:pPr>
        <w:ind w:left="4253"/>
        <w:jc w:val="both"/>
        <w:rPr>
          <w:rFonts w:ascii="Times New Roman" w:hAnsi="Times New Roman" w:cs="Times New Roman"/>
          <w:b/>
        </w:rPr>
      </w:pPr>
    </w:p>
    <w:p w14:paraId="221BEAA0" w14:textId="77777777" w:rsidR="0082009A" w:rsidRDefault="0082009A" w:rsidP="0087610E">
      <w:pPr>
        <w:ind w:left="4253"/>
        <w:jc w:val="both"/>
        <w:rPr>
          <w:rFonts w:ascii="Times New Roman" w:hAnsi="Times New Roman" w:cs="Times New Roman"/>
          <w:b/>
        </w:rPr>
      </w:pPr>
    </w:p>
    <w:p w14:paraId="2404C87B" w14:textId="77777777" w:rsidR="0082009A" w:rsidRDefault="0082009A" w:rsidP="0087610E">
      <w:pPr>
        <w:ind w:left="4253"/>
        <w:jc w:val="both"/>
        <w:rPr>
          <w:rFonts w:ascii="Times New Roman" w:hAnsi="Times New Roman" w:cs="Times New Roman"/>
          <w:b/>
        </w:rPr>
      </w:pPr>
    </w:p>
    <w:p w14:paraId="1877ADB6" w14:textId="77777777" w:rsidR="0087610E" w:rsidRDefault="0087610E" w:rsidP="0087610E">
      <w:pPr>
        <w:ind w:left="4253"/>
        <w:jc w:val="both"/>
        <w:rPr>
          <w:rFonts w:ascii="Times New Roman" w:hAnsi="Times New Roman" w:cs="Times New Roman"/>
        </w:rPr>
      </w:pPr>
      <w:r>
        <w:rPr>
          <w:rFonts w:ascii="Times New Roman" w:hAnsi="Times New Roman" w:cs="Times New Roman"/>
          <w:b/>
        </w:rPr>
        <w:t>ЗАТВЕРДЖЕНО</w:t>
      </w:r>
    </w:p>
    <w:p w14:paraId="424FF07D" w14:textId="77777777" w:rsidR="0087610E" w:rsidRDefault="0087610E" w:rsidP="0087610E">
      <w:pPr>
        <w:ind w:left="4253"/>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0FC9CF4B" w14:textId="686CE33D" w:rsidR="0087610E" w:rsidRPr="00DD733C" w:rsidRDefault="0087610E" w:rsidP="0087610E">
      <w:pPr>
        <w:ind w:left="4253"/>
        <w:jc w:val="both"/>
        <w:rPr>
          <w:rFonts w:ascii="Times New Roman" w:hAnsi="Times New Roman" w:cs="Times New Roman"/>
          <w:color w:val="000000"/>
        </w:rPr>
      </w:pPr>
      <w:r>
        <w:rPr>
          <w:rFonts w:ascii="Times New Roman" w:hAnsi="Times New Roman" w:cs="Times New Roman"/>
        </w:rPr>
        <w:t xml:space="preserve">від </w:t>
      </w:r>
      <w:r w:rsidR="00C46416">
        <w:rPr>
          <w:rFonts w:ascii="Times New Roman" w:hAnsi="Times New Roman" w:cs="Times New Roman"/>
          <w:color w:val="000000"/>
        </w:rPr>
        <w:t>«28</w:t>
      </w:r>
      <w:r>
        <w:rPr>
          <w:rFonts w:ascii="Times New Roman" w:hAnsi="Times New Roman" w:cs="Times New Roman"/>
          <w:color w:val="000000"/>
        </w:rPr>
        <w:t xml:space="preserve">» лютого 2024 року № </w:t>
      </w:r>
      <w:r w:rsidR="00310948">
        <w:rPr>
          <w:rFonts w:ascii="Times New Roman" w:hAnsi="Times New Roman" w:cs="Times New Roman"/>
          <w:color w:val="000000"/>
        </w:rPr>
        <w:t>02/16</w:t>
      </w:r>
    </w:p>
    <w:p w14:paraId="4C222897" w14:textId="0DCDED59" w:rsidR="0087610E" w:rsidRDefault="00C46416" w:rsidP="0087610E">
      <w:pPr>
        <w:ind w:left="4253"/>
        <w:jc w:val="both"/>
        <w:rPr>
          <w:rFonts w:ascii="Times New Roman" w:hAnsi="Times New Roman" w:cs="Times New Roman"/>
        </w:rPr>
      </w:pPr>
      <w:r>
        <w:rPr>
          <w:rFonts w:ascii="Times New Roman" w:hAnsi="Times New Roman" w:cs="Times New Roman"/>
        </w:rPr>
        <w:t>Юлія САБАДАШ</w:t>
      </w:r>
    </w:p>
    <w:p w14:paraId="557C1979" w14:textId="77777777" w:rsidR="0087610E" w:rsidRDefault="0087610E" w:rsidP="0087610E">
      <w:pPr>
        <w:ind w:left="147" w:firstLine="4389"/>
        <w:jc w:val="both"/>
        <w:rPr>
          <w:rFonts w:ascii="Times New Roman" w:hAnsi="Times New Roman" w:cs="Times New Roman"/>
          <w:b/>
        </w:rPr>
      </w:pPr>
    </w:p>
    <w:p w14:paraId="2BFB7C8B" w14:textId="1CAF7D4C" w:rsidR="001958B7" w:rsidRDefault="00780FEB" w:rsidP="007B7315">
      <w:pPr>
        <w:ind w:left="4253"/>
        <w:jc w:val="both"/>
        <w:rPr>
          <w:rFonts w:ascii="Times New Roman" w:hAnsi="Times New Roman" w:cs="Times New Roman"/>
        </w:rPr>
      </w:pPr>
      <w:r>
        <w:rPr>
          <w:rFonts w:ascii="Times New Roman" w:hAnsi="Times New Roman" w:cs="Times New Roman"/>
        </w:rPr>
        <w:t>ЗАТВЕРДЖЕНО</w:t>
      </w:r>
    </w:p>
    <w:p w14:paraId="1366996A" w14:textId="4FE162B0" w:rsidR="00780FEB" w:rsidRDefault="00780FEB" w:rsidP="007B7315">
      <w:pPr>
        <w:ind w:left="4253"/>
        <w:jc w:val="both"/>
        <w:rPr>
          <w:rFonts w:ascii="Times New Roman" w:hAnsi="Times New Roman" w:cs="Times New Roman"/>
        </w:rPr>
      </w:pPr>
      <w:r>
        <w:rPr>
          <w:rFonts w:ascii="Times New Roman" w:hAnsi="Times New Roman" w:cs="Times New Roman"/>
        </w:rPr>
        <w:t>Протокольним рішенням Уповноваженої особи</w:t>
      </w:r>
    </w:p>
    <w:p w14:paraId="1493CDC9" w14:textId="34F5D9EA" w:rsidR="00780FEB" w:rsidRDefault="00780FEB" w:rsidP="007B7315">
      <w:pPr>
        <w:ind w:left="4253"/>
        <w:jc w:val="both"/>
        <w:rPr>
          <w:rFonts w:ascii="Times New Roman" w:hAnsi="Times New Roman" w:cs="Times New Roman"/>
        </w:rPr>
      </w:pPr>
      <w:r>
        <w:rPr>
          <w:rFonts w:ascii="Times New Roman" w:hAnsi="Times New Roman" w:cs="Times New Roman"/>
        </w:rPr>
        <w:t>Від «6» березня 2024 року № 06/23</w:t>
      </w:r>
    </w:p>
    <w:p w14:paraId="56B5B342" w14:textId="5C8D702B" w:rsidR="00780FEB" w:rsidRDefault="00780FEB" w:rsidP="007B7315">
      <w:pPr>
        <w:ind w:left="4253"/>
        <w:jc w:val="both"/>
        <w:rPr>
          <w:rFonts w:ascii="Times New Roman" w:hAnsi="Times New Roman" w:cs="Times New Roman"/>
        </w:rPr>
      </w:pPr>
      <w:r>
        <w:rPr>
          <w:rFonts w:ascii="Times New Roman" w:hAnsi="Times New Roman" w:cs="Times New Roman"/>
        </w:rPr>
        <w:t>Юлія САБАДАШ</w:t>
      </w:r>
    </w:p>
    <w:p w14:paraId="5EA7D3C5" w14:textId="77777777" w:rsidR="007B7315" w:rsidRDefault="007B7315" w:rsidP="007B7315">
      <w:pPr>
        <w:ind w:left="147" w:firstLine="4389"/>
        <w:jc w:val="both"/>
        <w:rPr>
          <w:rFonts w:ascii="Times New Roman" w:hAnsi="Times New Roman" w:cs="Times New Roman"/>
          <w:b/>
        </w:rPr>
      </w:pPr>
      <w:bookmarkStart w:id="0" w:name="_Hlk130822146"/>
    </w:p>
    <w:bookmarkEnd w:id="0"/>
    <w:p w14:paraId="2A0D6F47" w14:textId="77777777" w:rsidR="00307364" w:rsidRDefault="00307364" w:rsidP="00307364">
      <w:pPr>
        <w:ind w:left="4253"/>
        <w:jc w:val="both"/>
      </w:pPr>
      <w:r>
        <w:t>ЗАТВЕРДЖЕНО</w:t>
      </w:r>
    </w:p>
    <w:p w14:paraId="6072CFE2" w14:textId="77777777" w:rsidR="00307364" w:rsidRDefault="00307364" w:rsidP="00307364">
      <w:pPr>
        <w:ind w:left="4253"/>
        <w:jc w:val="both"/>
      </w:pPr>
      <w:r>
        <w:t>Протокольним рішенням Уповноваженої особи</w:t>
      </w:r>
    </w:p>
    <w:p w14:paraId="2F9DE9D1" w14:textId="77777777" w:rsidR="00307364" w:rsidRDefault="00307364" w:rsidP="00307364">
      <w:pPr>
        <w:ind w:left="4253"/>
        <w:jc w:val="both"/>
      </w:pPr>
      <w:r>
        <w:t>Від «6» березня 2024 року № 07/23</w:t>
      </w:r>
    </w:p>
    <w:p w14:paraId="71EAFB62" w14:textId="581FD329" w:rsidR="001958B7" w:rsidRDefault="00307364" w:rsidP="00307364">
      <w:pPr>
        <w:ind w:left="4253"/>
        <w:jc w:val="both"/>
        <w:rPr>
          <w:rFonts w:ascii="Times New Roman" w:hAnsi="Times New Roman" w:cs="Times New Roman"/>
          <w:b/>
        </w:rPr>
      </w:pPr>
      <w:r>
        <w:t>Юлія САБАДАШ</w:t>
      </w: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03F0EE41" w:rsidR="001958B7" w:rsidRPr="00F25570" w:rsidRDefault="00F25570">
      <w:pPr>
        <w:jc w:val="center"/>
        <w:rPr>
          <w:rFonts w:ascii="Times New Roman" w:hAnsi="Times New Roman" w:cs="Times New Roman"/>
          <w:b/>
          <w:sz w:val="32"/>
          <w:szCs w:val="30"/>
        </w:rPr>
      </w:pPr>
      <w:r w:rsidRPr="00F25570">
        <w:rPr>
          <w:rFonts w:ascii="Times New Roman" w:hAnsi="Times New Roman" w:cs="Times New Roman"/>
          <w:b/>
          <w:sz w:val="32"/>
          <w:szCs w:val="30"/>
        </w:rPr>
        <w:t>Морква, цибуля ріпчаста, буряк столовий, томати, огірки, яблука, капуста, виноград, черешня, персики, абрикоси, полуниця</w:t>
      </w:r>
    </w:p>
    <w:p w14:paraId="356951A6" w14:textId="77777777" w:rsidR="00F25570" w:rsidRPr="00F25570" w:rsidRDefault="00F25570" w:rsidP="00F25570">
      <w:pPr>
        <w:tabs>
          <w:tab w:val="left" w:pos="426"/>
        </w:tabs>
        <w:jc w:val="center"/>
        <w:rPr>
          <w:rFonts w:ascii="Times New Roman" w:hAnsi="Times New Roman" w:cs="Times New Roman"/>
          <w:b/>
          <w:bCs/>
          <w:sz w:val="32"/>
          <w:szCs w:val="30"/>
          <w:lang w:val="ru-RU"/>
        </w:rPr>
      </w:pPr>
      <w:r w:rsidRPr="00F25570">
        <w:rPr>
          <w:rFonts w:ascii="Times New Roman" w:hAnsi="Times New Roman" w:cs="Times New Roman"/>
          <w:b/>
          <w:color w:val="000000"/>
          <w:sz w:val="32"/>
          <w:szCs w:val="30"/>
          <w:lang w:val="ru-RU"/>
        </w:rPr>
        <w:t xml:space="preserve">(код ДК 021:2015: 03220000-9: </w:t>
      </w:r>
      <w:proofErr w:type="spellStart"/>
      <w:r w:rsidRPr="00F25570">
        <w:rPr>
          <w:rFonts w:ascii="Times New Roman" w:hAnsi="Times New Roman" w:cs="Times New Roman"/>
          <w:b/>
          <w:color w:val="000000"/>
          <w:sz w:val="32"/>
          <w:szCs w:val="30"/>
          <w:lang w:val="ru-RU"/>
        </w:rPr>
        <w:t>Овочі</w:t>
      </w:r>
      <w:proofErr w:type="spellEnd"/>
      <w:r w:rsidRPr="00F25570">
        <w:rPr>
          <w:rFonts w:ascii="Times New Roman" w:hAnsi="Times New Roman" w:cs="Times New Roman"/>
          <w:b/>
          <w:color w:val="000000"/>
          <w:sz w:val="32"/>
          <w:szCs w:val="30"/>
          <w:lang w:val="ru-RU"/>
        </w:rPr>
        <w:t xml:space="preserve">, </w:t>
      </w:r>
      <w:proofErr w:type="spellStart"/>
      <w:r w:rsidRPr="00F25570">
        <w:rPr>
          <w:rFonts w:ascii="Times New Roman" w:hAnsi="Times New Roman" w:cs="Times New Roman"/>
          <w:b/>
          <w:color w:val="000000"/>
          <w:sz w:val="32"/>
          <w:szCs w:val="30"/>
          <w:lang w:val="ru-RU"/>
        </w:rPr>
        <w:t>фрукти</w:t>
      </w:r>
      <w:proofErr w:type="spellEnd"/>
      <w:r w:rsidRPr="00F25570">
        <w:rPr>
          <w:rFonts w:ascii="Times New Roman" w:hAnsi="Times New Roman" w:cs="Times New Roman"/>
          <w:b/>
          <w:color w:val="000000"/>
          <w:sz w:val="32"/>
          <w:szCs w:val="30"/>
          <w:lang w:val="ru-RU"/>
        </w:rPr>
        <w:t xml:space="preserve"> та </w:t>
      </w:r>
      <w:proofErr w:type="spellStart"/>
      <w:r w:rsidRPr="00F25570">
        <w:rPr>
          <w:rFonts w:ascii="Times New Roman" w:hAnsi="Times New Roman" w:cs="Times New Roman"/>
          <w:b/>
          <w:color w:val="000000"/>
          <w:sz w:val="32"/>
          <w:szCs w:val="30"/>
          <w:lang w:val="ru-RU"/>
        </w:rPr>
        <w:t>горіхи</w:t>
      </w:r>
      <w:proofErr w:type="spellEnd"/>
      <w:r w:rsidRPr="00F25570">
        <w:rPr>
          <w:rFonts w:ascii="Times New Roman" w:hAnsi="Times New Roman" w:cs="Times New Roman"/>
          <w:b/>
          <w:color w:val="000000"/>
          <w:sz w:val="32"/>
          <w:szCs w:val="30"/>
          <w:lang w:val="ru-RU"/>
        </w:rPr>
        <w:t xml:space="preserve">)  </w:t>
      </w:r>
    </w:p>
    <w:p w14:paraId="57C59A14" w14:textId="77777777" w:rsidR="001958B7" w:rsidRPr="00F25570" w:rsidRDefault="001958B7">
      <w:pPr>
        <w:jc w:val="center"/>
        <w:rPr>
          <w:rFonts w:ascii="Times New Roman" w:hAnsi="Times New Roman" w:cs="Times New Roman"/>
          <w:b/>
          <w:sz w:val="32"/>
          <w:szCs w:val="30"/>
          <w:lang w:val="ru-RU"/>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09134BF5" w14:textId="77777777" w:rsidR="0087610E" w:rsidRDefault="0087610E">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EC48DB8" w14:textId="77777777" w:rsidR="00C46416" w:rsidRDefault="00C46416" w:rsidP="00780FEB">
      <w:pPr>
        <w:rPr>
          <w:rFonts w:ascii="Times New Roman" w:hAnsi="Times New Roman" w:cs="Times New Roman"/>
          <w:b/>
          <w:sz w:val="28"/>
          <w:szCs w:val="28"/>
        </w:rPr>
      </w:pPr>
    </w:p>
    <w:p w14:paraId="286E59AF" w14:textId="77777777" w:rsidR="007E13A3" w:rsidRDefault="007E13A3" w:rsidP="0087610E">
      <w:pPr>
        <w:rPr>
          <w:rFonts w:ascii="Times New Roman" w:hAnsi="Times New Roman" w:cs="Times New Roman"/>
          <w:b/>
          <w:sz w:val="28"/>
          <w:szCs w:val="28"/>
        </w:rPr>
      </w:pPr>
    </w:p>
    <w:p w14:paraId="3E6018FA" w14:textId="336A068D" w:rsidR="0087610E" w:rsidRPr="007E13A3" w:rsidRDefault="0087610E" w:rsidP="0087610E">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Pr="007E13A3">
        <w:rPr>
          <w:rFonts w:ascii="Times New Roman" w:hAnsi="Times New Roman" w:cs="Times New Roman"/>
          <w:b/>
          <w:shd w:val="clear" w:color="auto" w:fill="FDFEFD"/>
        </w:rPr>
        <w:t xml:space="preserve">. </w:t>
      </w:r>
      <w:r w:rsidR="00C46416">
        <w:rPr>
          <w:rFonts w:ascii="Times New Roman" w:hAnsi="Times New Roman" w:cs="Times New Roman"/>
          <w:b/>
          <w:shd w:val="clear" w:color="auto" w:fill="FDFEFD"/>
        </w:rPr>
        <w:t>Виноградівка</w:t>
      </w:r>
    </w:p>
    <w:p w14:paraId="5E32D46A" w14:textId="49FDF3BC" w:rsidR="007E13A3" w:rsidRDefault="0087610E" w:rsidP="00307364">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rsidSect="00567929">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1.1.1. Тендерна документація розроблена на виконання вимог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C46416" w14:paraId="18982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3CC808AA"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8927FFC" w:rsidR="00C46416" w:rsidRDefault="00C46416" w:rsidP="00C46416">
            <w:pPr>
              <w:pBdr>
                <w:top w:val="nil"/>
                <w:left w:val="nil"/>
                <w:bottom w:val="nil"/>
                <w:right w:val="nil"/>
                <w:between w:val="nil"/>
              </w:pBdr>
              <w:ind w:left="91" w:right="34"/>
              <w:rPr>
                <w:rFonts w:ascii="Times New Roman" w:hAnsi="Times New Roman" w:cs="Times New Roman"/>
                <w:b/>
                <w:color w:val="000000"/>
                <w:highlight w:val="white"/>
              </w:rPr>
            </w:pPr>
            <w:r w:rsidRPr="00EA7F3F">
              <w:rPr>
                <w:rFonts w:ascii="Times New Roman" w:hAnsi="Times New Roman" w:cs="Times New Roman"/>
                <w:b/>
                <w:color w:val="000000"/>
              </w:rPr>
              <w:t>ВИНОГРАДІВСЬКИЙ ПСИХОНЕВРОЛОГІЧНИЙ ІНТЕРНАТ</w:t>
            </w:r>
          </w:p>
        </w:tc>
      </w:tr>
      <w:tr w:rsidR="00C46416" w14:paraId="1BB9DF0E"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10584861"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1D3790F8" w:rsidR="00C46416" w:rsidRDefault="00C46416" w:rsidP="00C46416">
            <w:pPr>
              <w:pBdr>
                <w:top w:val="nil"/>
                <w:left w:val="nil"/>
                <w:bottom w:val="nil"/>
                <w:right w:val="nil"/>
                <w:between w:val="nil"/>
              </w:pBdr>
              <w:ind w:left="91" w:right="34"/>
              <w:rPr>
                <w:rFonts w:ascii="Times New Roman" w:hAnsi="Times New Roman" w:cs="Times New Roman"/>
                <w:color w:val="000000"/>
                <w:highlight w:val="white"/>
              </w:rPr>
            </w:pPr>
            <w:r w:rsidRPr="00EA7F3F">
              <w:rPr>
                <w:rFonts w:ascii="Times New Roman" w:hAnsi="Times New Roman" w:cs="Times New Roman"/>
                <w:color w:val="000000"/>
              </w:rPr>
              <w:t>32123, вул. Центральна, 15А, с. Виноградівка, Хмельницький район, Хмельницької області</w:t>
            </w:r>
          </w:p>
        </w:tc>
      </w:tr>
      <w:tr w:rsidR="00C46416" w14:paraId="72EE0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04B74F62"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89270"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Сабадаш Юлія Олександрівна</w:t>
            </w:r>
          </w:p>
          <w:p w14:paraId="6EC69C57"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Фахівець з публічних </w:t>
            </w:r>
            <w:proofErr w:type="spellStart"/>
            <w:r w:rsidRPr="00EA7F3F">
              <w:rPr>
                <w:rFonts w:ascii="Times New Roman" w:hAnsi="Times New Roman" w:cs="Times New Roman"/>
                <w:color w:val="000000"/>
              </w:rPr>
              <w:t>закупівель</w:t>
            </w:r>
            <w:proofErr w:type="spellEnd"/>
            <w:r w:rsidRPr="00EA7F3F">
              <w:rPr>
                <w:rFonts w:ascii="Times New Roman" w:hAnsi="Times New Roman" w:cs="Times New Roman"/>
                <w:color w:val="000000"/>
              </w:rPr>
              <w:t>, бухгалтер</w:t>
            </w:r>
          </w:p>
          <w:p w14:paraId="5468A4A6"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(уповноважена особа) </w:t>
            </w:r>
          </w:p>
          <w:p w14:paraId="4D8155A3"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телефон 0682679600 </w:t>
            </w:r>
          </w:p>
          <w:p w14:paraId="4B14AAEC" w14:textId="75BF262D" w:rsidR="00C46416" w:rsidRDefault="00C46416" w:rsidP="00C46416">
            <w:pPr>
              <w:widowControl/>
              <w:ind w:left="100" w:right="40"/>
              <w:jc w:val="both"/>
              <w:rPr>
                <w:rFonts w:ascii="Times New Roman" w:hAnsi="Times New Roman" w:cs="Times New Roman"/>
                <w:color w:val="000000"/>
              </w:rPr>
            </w:pPr>
            <w:proofErr w:type="spellStart"/>
            <w:r w:rsidRPr="00EA7F3F">
              <w:rPr>
                <w:rFonts w:ascii="Times New Roman" w:hAnsi="Times New Roman" w:cs="Times New Roman"/>
                <w:color w:val="000000"/>
              </w:rPr>
              <w:t>еmail</w:t>
            </w:r>
            <w:proofErr w:type="spellEnd"/>
            <w:r w:rsidRPr="00EA7F3F">
              <w:rPr>
                <w:rFonts w:ascii="Times New Roman" w:hAnsi="Times New Roman" w:cs="Times New Roman"/>
                <w:color w:val="000000"/>
              </w:rPr>
              <w:t xml:space="preserve"> –  yarmvpni@gmail.com</w:t>
            </w:r>
          </w:p>
        </w:tc>
      </w:tr>
      <w:tr w:rsidR="0087610E"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697B48BD"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87610E" w:rsidRDefault="0087610E" w:rsidP="0087610E">
            <w:pPr>
              <w:widowControl/>
              <w:pBdr>
                <w:top w:val="nil"/>
                <w:left w:val="nil"/>
                <w:bottom w:val="nil"/>
                <w:right w:val="nil"/>
                <w:between w:val="nil"/>
              </w:pBdr>
              <w:jc w:val="both"/>
              <w:rPr>
                <w:rFonts w:ascii="Times New Roman" w:hAnsi="Times New Roman" w:cs="Times New Roman"/>
                <w:color w:val="000000"/>
              </w:rPr>
            </w:pPr>
          </w:p>
        </w:tc>
      </w:tr>
      <w:tr w:rsidR="0087610E"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293942FE" w:rsidR="0087610E" w:rsidRDefault="0087610E" w:rsidP="0087610E">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6C1AC84B" w:rsidR="0087610E" w:rsidRDefault="0087610E" w:rsidP="0087610E">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87610E"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6705E86C"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2177770B" w:rsidR="0087610E" w:rsidRDefault="0087610E" w:rsidP="0087610E">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565009">
              <w:rPr>
                <w:rFonts w:ascii="Times New Roman" w:hAnsi="Times New Roman" w:cs="Times New Roman"/>
                <w:b/>
                <w:color w:val="000000"/>
              </w:rPr>
              <w:t>Товар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87610E" w:rsidRDefault="007956C3">
            <w:pPr>
              <w:widowControl/>
              <w:pBdr>
                <w:top w:val="nil"/>
                <w:left w:val="nil"/>
                <w:bottom w:val="nil"/>
                <w:right w:val="nil"/>
                <w:between w:val="nil"/>
              </w:pBdr>
              <w:jc w:val="center"/>
              <w:rPr>
                <w:rFonts w:ascii="Times New Roman" w:hAnsi="Times New Roman" w:cs="Times New Roman"/>
                <w:color w:val="000000"/>
              </w:rPr>
            </w:pPr>
            <w:r w:rsidRPr="0087610E">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2782E6" w14:textId="4CF0E930" w:rsidR="00F25570" w:rsidRPr="00F25570" w:rsidRDefault="00F25570" w:rsidP="00F25570">
            <w:pPr>
              <w:jc w:val="both"/>
              <w:rPr>
                <w:rFonts w:ascii="Times New Roman" w:hAnsi="Times New Roman" w:cs="Times New Roman"/>
                <w:b/>
                <w:szCs w:val="30"/>
              </w:rPr>
            </w:pPr>
            <w:r w:rsidRPr="00F25570">
              <w:rPr>
                <w:rFonts w:ascii="Times New Roman" w:hAnsi="Times New Roman" w:cs="Times New Roman"/>
                <w:b/>
                <w:szCs w:val="30"/>
              </w:rPr>
              <w:t>Морква, цибуля ріпчаста, буряк столовий, томати, огірки, яблука, капуста, виноград, черешня, персики, абрикоси, полуниця</w:t>
            </w:r>
          </w:p>
          <w:p w14:paraId="36D59F40" w14:textId="77777777" w:rsidR="00F25570" w:rsidRPr="00F25570" w:rsidRDefault="00F25570" w:rsidP="00F25570">
            <w:pPr>
              <w:tabs>
                <w:tab w:val="left" w:pos="426"/>
              </w:tabs>
              <w:jc w:val="both"/>
              <w:rPr>
                <w:rFonts w:ascii="Times New Roman" w:hAnsi="Times New Roman" w:cs="Times New Roman"/>
                <w:b/>
                <w:bCs/>
                <w:szCs w:val="30"/>
                <w:lang w:val="ru-RU"/>
              </w:rPr>
            </w:pPr>
            <w:r w:rsidRPr="00F25570">
              <w:rPr>
                <w:rFonts w:ascii="Times New Roman" w:hAnsi="Times New Roman" w:cs="Times New Roman"/>
                <w:b/>
                <w:color w:val="000000"/>
                <w:szCs w:val="30"/>
                <w:lang w:val="ru-RU"/>
              </w:rPr>
              <w:t xml:space="preserve">(код ДК 021:2015: 03220000-9: </w:t>
            </w:r>
            <w:proofErr w:type="spellStart"/>
            <w:r w:rsidRPr="00F25570">
              <w:rPr>
                <w:rFonts w:ascii="Times New Roman" w:hAnsi="Times New Roman" w:cs="Times New Roman"/>
                <w:b/>
                <w:color w:val="000000"/>
                <w:szCs w:val="30"/>
                <w:lang w:val="ru-RU"/>
              </w:rPr>
              <w:t>Овочі</w:t>
            </w:r>
            <w:proofErr w:type="spellEnd"/>
            <w:r w:rsidRPr="00F25570">
              <w:rPr>
                <w:rFonts w:ascii="Times New Roman" w:hAnsi="Times New Roman" w:cs="Times New Roman"/>
                <w:b/>
                <w:color w:val="000000"/>
                <w:szCs w:val="30"/>
                <w:lang w:val="ru-RU"/>
              </w:rPr>
              <w:t xml:space="preserve">, </w:t>
            </w:r>
            <w:proofErr w:type="spellStart"/>
            <w:r w:rsidRPr="00F25570">
              <w:rPr>
                <w:rFonts w:ascii="Times New Roman" w:hAnsi="Times New Roman" w:cs="Times New Roman"/>
                <w:b/>
                <w:color w:val="000000"/>
                <w:szCs w:val="30"/>
                <w:lang w:val="ru-RU"/>
              </w:rPr>
              <w:t>фрукти</w:t>
            </w:r>
            <w:proofErr w:type="spellEnd"/>
            <w:r w:rsidRPr="00F25570">
              <w:rPr>
                <w:rFonts w:ascii="Times New Roman" w:hAnsi="Times New Roman" w:cs="Times New Roman"/>
                <w:b/>
                <w:color w:val="000000"/>
                <w:szCs w:val="30"/>
                <w:lang w:val="ru-RU"/>
              </w:rPr>
              <w:t xml:space="preserve"> та </w:t>
            </w:r>
            <w:proofErr w:type="spellStart"/>
            <w:r w:rsidRPr="00F25570">
              <w:rPr>
                <w:rFonts w:ascii="Times New Roman" w:hAnsi="Times New Roman" w:cs="Times New Roman"/>
                <w:b/>
                <w:color w:val="000000"/>
                <w:szCs w:val="30"/>
                <w:lang w:val="ru-RU"/>
              </w:rPr>
              <w:t>горіхи</w:t>
            </w:r>
            <w:proofErr w:type="spellEnd"/>
            <w:r w:rsidRPr="00F25570">
              <w:rPr>
                <w:rFonts w:ascii="Times New Roman" w:hAnsi="Times New Roman" w:cs="Times New Roman"/>
                <w:b/>
                <w:color w:val="000000"/>
                <w:szCs w:val="30"/>
                <w:lang w:val="ru-RU"/>
              </w:rPr>
              <w:t xml:space="preserve">)  </w:t>
            </w:r>
          </w:p>
          <w:p w14:paraId="3C4B3118" w14:textId="77777777" w:rsidR="00F25570" w:rsidRPr="00F25570" w:rsidRDefault="00F25570" w:rsidP="00F25570">
            <w:pPr>
              <w:jc w:val="both"/>
              <w:rPr>
                <w:rFonts w:ascii="Times New Roman" w:hAnsi="Times New Roman" w:cs="Times New Roman"/>
                <w:b/>
                <w:szCs w:val="30"/>
                <w:lang w:val="ru-RU"/>
              </w:rPr>
            </w:pPr>
          </w:p>
          <w:p w14:paraId="126663F0" w14:textId="48EABB7D" w:rsidR="00C46416" w:rsidRPr="00F25570" w:rsidRDefault="00C46416" w:rsidP="00C46416">
            <w:pPr>
              <w:keepNext/>
              <w:jc w:val="both"/>
              <w:rPr>
                <w:rFonts w:ascii="Times New Roman" w:hAnsi="Times New Roman" w:cs="Times New Roman"/>
                <w:b/>
                <w:szCs w:val="28"/>
                <w:lang w:val="ru-RU"/>
              </w:rPr>
            </w:pPr>
          </w:p>
          <w:p w14:paraId="74405FA4" w14:textId="4B3C41C7" w:rsidR="007956C3" w:rsidRPr="0087610E" w:rsidRDefault="007956C3" w:rsidP="00AF3A20">
            <w:pPr>
              <w:rPr>
                <w:rFonts w:ascii="Times New Roman" w:hAnsi="Times New Roman" w:cs="Times New Roman"/>
                <w:b/>
                <w:bCs/>
                <w:color w:val="000000"/>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87610E" w:rsidRDefault="007956C3">
            <w:pPr>
              <w:widowControl/>
              <w:jc w:val="center"/>
              <w:rPr>
                <w:rFonts w:ascii="Times New Roman" w:hAnsi="Times New Roman" w:cs="Times New Roman"/>
              </w:rPr>
            </w:pPr>
            <w:r w:rsidRPr="0087610E">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93111" w14:textId="6336E6F2" w:rsidR="0087610E" w:rsidRPr="0087610E" w:rsidRDefault="0087610E" w:rsidP="0087610E">
            <w:pPr>
              <w:pStyle w:val="a8"/>
              <w:spacing w:before="0" w:after="0" w:line="264" w:lineRule="auto"/>
              <w:jc w:val="both"/>
              <w:rPr>
                <w:color w:val="000000"/>
              </w:rPr>
            </w:pPr>
            <w:r w:rsidRPr="0087610E">
              <w:t xml:space="preserve">Місце поставки – </w:t>
            </w:r>
            <w:r w:rsidR="00C46416" w:rsidRPr="00EA7F3F">
              <w:rPr>
                <w:color w:val="000000"/>
              </w:rPr>
              <w:t>32123, вул. Центральна, 15А, с. Виноградівка, Хмельницький район, Хмельницької області</w:t>
            </w:r>
          </w:p>
          <w:p w14:paraId="14DC077C" w14:textId="77777777" w:rsidR="0087610E" w:rsidRPr="0087610E" w:rsidRDefault="0087610E" w:rsidP="0087610E">
            <w:pPr>
              <w:widowControl/>
              <w:pBdr>
                <w:top w:val="nil"/>
                <w:left w:val="nil"/>
                <w:bottom w:val="nil"/>
                <w:right w:val="nil"/>
                <w:between w:val="nil"/>
              </w:pBdr>
              <w:jc w:val="both"/>
              <w:rPr>
                <w:rFonts w:ascii="Times New Roman" w:hAnsi="Times New Roman" w:cs="Times New Roman"/>
                <w:color w:val="000000"/>
              </w:rPr>
            </w:pPr>
          </w:p>
          <w:p w14:paraId="18F318A6" w14:textId="77777777" w:rsidR="00B9319A" w:rsidRDefault="0087610E" w:rsidP="0087610E">
            <w:pPr>
              <w:widowControl/>
              <w:jc w:val="both"/>
              <w:rPr>
                <w:rFonts w:ascii="Times New Roman" w:hAnsi="Times New Roman" w:cs="Times New Roman"/>
                <w:i/>
              </w:rPr>
            </w:pPr>
            <w:r w:rsidRPr="00AC5857">
              <w:rPr>
                <w:rFonts w:ascii="Times New Roman" w:hAnsi="Times New Roman" w:cs="Times New Roman"/>
                <w:i/>
              </w:rPr>
              <w:t>Кількість:</w:t>
            </w:r>
            <w:r w:rsidRPr="0087610E">
              <w:rPr>
                <w:rFonts w:ascii="Times New Roman" w:hAnsi="Times New Roman" w:cs="Times New Roman"/>
                <w:i/>
              </w:rPr>
              <w:t>  </w:t>
            </w:r>
          </w:p>
          <w:p w14:paraId="4BDF03D1" w14:textId="77777777" w:rsidR="00C46416" w:rsidRDefault="00F25570" w:rsidP="0087610E">
            <w:pPr>
              <w:widowControl/>
              <w:jc w:val="both"/>
              <w:rPr>
                <w:rFonts w:ascii="Times New Roman" w:hAnsi="Times New Roman" w:cs="Times New Roman"/>
                <w:i/>
              </w:rPr>
            </w:pPr>
            <w:r>
              <w:rPr>
                <w:rFonts w:ascii="Times New Roman" w:hAnsi="Times New Roman" w:cs="Times New Roman"/>
                <w:i/>
              </w:rPr>
              <w:t>Морква – 4000 кг.,</w:t>
            </w:r>
          </w:p>
          <w:p w14:paraId="0F2CE0C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lastRenderedPageBreak/>
              <w:t>Цибуля ріпчаста – 4000 кг.,</w:t>
            </w:r>
          </w:p>
          <w:p w14:paraId="7B970F1E"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Буряк столовий – 5000 кг.,</w:t>
            </w:r>
          </w:p>
          <w:p w14:paraId="2164DECB"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Томати – 3000 кг.,</w:t>
            </w:r>
          </w:p>
          <w:p w14:paraId="198F1606"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Огірки – 4000 кг.,</w:t>
            </w:r>
          </w:p>
          <w:p w14:paraId="27F7CED1"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Яблука – 6000 кг.,</w:t>
            </w:r>
          </w:p>
          <w:p w14:paraId="78CAD803" w14:textId="512EAB68" w:rsidR="00F25570" w:rsidRDefault="00F25570" w:rsidP="0087610E">
            <w:pPr>
              <w:widowControl/>
              <w:jc w:val="both"/>
              <w:rPr>
                <w:rFonts w:ascii="Times New Roman" w:hAnsi="Times New Roman" w:cs="Times New Roman"/>
                <w:i/>
              </w:rPr>
            </w:pPr>
            <w:r>
              <w:rPr>
                <w:rFonts w:ascii="Times New Roman" w:hAnsi="Times New Roman" w:cs="Times New Roman"/>
                <w:i/>
              </w:rPr>
              <w:t>Капуста – 9000 кг.,</w:t>
            </w:r>
          </w:p>
          <w:p w14:paraId="0BD25E1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Виноград – 120 кг.,</w:t>
            </w:r>
          </w:p>
          <w:p w14:paraId="3424E96C"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Черешня – 120 кг.,</w:t>
            </w:r>
          </w:p>
          <w:p w14:paraId="73C84C0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Персики – 120 кг.,</w:t>
            </w:r>
          </w:p>
          <w:p w14:paraId="0C3350B5"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Абрикоси – 120 кг.,</w:t>
            </w:r>
          </w:p>
          <w:p w14:paraId="0588B8CF" w14:textId="217CC096" w:rsidR="00F25570" w:rsidRPr="0087610E" w:rsidRDefault="00F25570" w:rsidP="0087610E">
            <w:pPr>
              <w:widowControl/>
              <w:jc w:val="both"/>
              <w:rPr>
                <w:rFonts w:ascii="Times New Roman" w:hAnsi="Times New Roman" w:cs="Times New Roman"/>
                <w:i/>
              </w:rPr>
            </w:pPr>
            <w:r>
              <w:rPr>
                <w:rFonts w:ascii="Times New Roman" w:hAnsi="Times New Roman" w:cs="Times New Roman"/>
                <w:i/>
              </w:rPr>
              <w:t>Полуниця – 120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87610E" w:rsidRDefault="007956C3">
            <w:pPr>
              <w:widowControl/>
              <w:jc w:val="center"/>
              <w:rPr>
                <w:rFonts w:ascii="Times New Roman" w:hAnsi="Times New Roman" w:cs="Times New Roman"/>
              </w:rPr>
            </w:pPr>
            <w:r w:rsidRPr="0087610E">
              <w:rPr>
                <w:rFonts w:ascii="Times New Roman" w:hAnsi="Times New Roman" w:cs="Times New Roman"/>
              </w:rPr>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2EE7BB3" w:rsidR="007956C3" w:rsidRPr="0087610E" w:rsidRDefault="007956C3" w:rsidP="0087610E">
            <w:pPr>
              <w:widowControl/>
              <w:jc w:val="both"/>
              <w:rPr>
                <w:rFonts w:ascii="Times New Roman" w:hAnsi="Times New Roman" w:cs="Times New Roman"/>
              </w:rPr>
            </w:pPr>
            <w:r w:rsidRPr="0087610E">
              <w:rPr>
                <w:rFonts w:ascii="Times New Roman" w:hAnsi="Times New Roman" w:cs="Times New Roman"/>
                <w:b/>
                <w:color w:val="FF0000"/>
              </w:rPr>
              <w:t xml:space="preserve"> </w:t>
            </w:r>
            <w:r w:rsidRPr="0087610E">
              <w:rPr>
                <w:rFonts w:ascii="Times New Roman" w:hAnsi="Times New Roman" w:cs="Times New Roman"/>
                <w:b/>
              </w:rPr>
              <w:t xml:space="preserve">до </w:t>
            </w:r>
            <w:r w:rsidR="0087610E">
              <w:rPr>
                <w:rFonts w:ascii="Times New Roman" w:hAnsi="Times New Roman" w:cs="Times New Roman"/>
                <w:b/>
              </w:rPr>
              <w:t>31.12.2024</w:t>
            </w:r>
            <w:r w:rsidR="00DA50D2" w:rsidRPr="0087610E">
              <w:rPr>
                <w:rFonts w:ascii="Times New Roman" w:hAnsi="Times New Roman" w:cs="Times New Roman"/>
                <w:b/>
              </w:rPr>
              <w:t xml:space="preserve"> </w:t>
            </w:r>
            <w:r w:rsidRPr="0087610E">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Pr>
                <w:rFonts w:ascii="Times New Roman" w:hAnsi="Times New Roman" w:cs="Times New Roman"/>
              </w:rPr>
              <w:t>закупівель</w:t>
            </w:r>
            <w:proofErr w:type="spellEnd"/>
            <w:r>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BF85856" w14:textId="6D533968"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w:t>
            </w:r>
            <w:r w:rsidRPr="006C04E5">
              <w:rPr>
                <w:rFonts w:ascii="Times New Roman" w:hAnsi="Times New Roman" w:cs="Times New Roman"/>
              </w:rPr>
              <w:t xml:space="preserve"> </w:t>
            </w:r>
            <w:r w:rsidRPr="001B601D">
              <w:rPr>
                <w:rFonts w:ascii="Times New Roman" w:hAnsi="Times New Roman" w:cs="Times New Roman"/>
              </w:rPr>
              <w:t>з</w:t>
            </w:r>
            <w:r w:rsidRPr="001B601D">
              <w:rPr>
                <w:shd w:val="clear" w:color="auto" w:fill="FFFFFF"/>
              </w:rPr>
              <w:t xml:space="preserve">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01D">
              <w:rPr>
                <w:shd w:val="clear" w:color="auto" w:fill="FFFFFF"/>
              </w:rPr>
              <w:t>бенефіціарним</w:t>
            </w:r>
            <w:proofErr w:type="spellEnd"/>
            <w:r w:rsidRPr="001B601D">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61C592"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EE51BED"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191955AC"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Pr>
                <w:rFonts w:ascii="Times New Roman" w:hAnsi="Times New Roman" w:cs="Times New Roman"/>
              </w:rPr>
              <w:lastRenderedPageBreak/>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7D7D8" w14:textId="77777777" w:rsidR="00BA2B56" w:rsidRDefault="00FD1312">
            <w:pPr>
              <w:jc w:val="both"/>
              <w:rPr>
                <w:color w:val="333333"/>
                <w:shd w:val="clear" w:color="auto" w:fill="FFFFFF"/>
              </w:rPr>
            </w:pPr>
            <w:r>
              <w:t xml:space="preserve">1.8.1. </w:t>
            </w:r>
            <w:r w:rsidR="00BA2B56">
              <w:t xml:space="preserve">Відповідно до абзацу 2 та 3 пункту 28 Особливостей, </w:t>
            </w:r>
            <w:r w:rsidR="00BA2B56">
              <w:rPr>
                <w:color w:val="333333"/>
                <w:shd w:val="clear" w:color="auto" w:fill="FFFFFF"/>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A2B56">
              <w:rPr>
                <w:color w:val="333333"/>
                <w:shd w:val="clear" w:color="auto" w:fill="FFFFFF"/>
              </w:rPr>
              <w:t>.</w:t>
            </w:r>
          </w:p>
          <w:p w14:paraId="55D0A530" w14:textId="4FEA7DFA" w:rsidR="00BA2B56" w:rsidRDefault="00BA2B56">
            <w:pPr>
              <w:jc w:val="both"/>
            </w:pPr>
            <w:r>
              <w:rPr>
                <w:color w:val="333333"/>
                <w:shd w:val="clear" w:color="auto" w:fill="FFFFFF"/>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t xml:space="preserve"> </w:t>
            </w:r>
          </w:p>
          <w:p w14:paraId="447C978A" w14:textId="5BEB39EC" w:rsidR="00BA2B56" w:rsidRDefault="00BA2B56">
            <w:pPr>
              <w:jc w:val="both"/>
            </w:pPr>
            <w:r>
              <w:t>1.8.</w:t>
            </w:r>
            <w:r>
              <w:t>2</w:t>
            </w:r>
            <w:r>
              <w:t>. Відповідно до пункту</w:t>
            </w:r>
            <w:r>
              <w:t xml:space="preserve"> 32 Особливостей, </w:t>
            </w:r>
            <w:r>
              <w:rPr>
                <w:color w:val="333333"/>
                <w:shd w:val="clear" w:color="auto" w:fill="FFFFFF"/>
              </w:rPr>
              <w:t>ц</w:t>
            </w:r>
            <w:r>
              <w:rPr>
                <w:color w:val="333333"/>
                <w:shd w:val="clear" w:color="auto" w:fill="FFFFFF"/>
              </w:rPr>
              <w:t>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w:t>
            </w:r>
            <w:hyperlink r:id="rId8" w:anchor="n546" w:history="1">
              <w:r>
                <w:rPr>
                  <w:rStyle w:val="a5"/>
                  <w:color w:val="006600"/>
                  <w:shd w:val="clear" w:color="auto" w:fill="FFFFFF"/>
                </w:rPr>
                <w:t>абзацу другого</w:t>
              </w:r>
            </w:hyperlink>
            <w:r>
              <w:rPr>
                <w:color w:val="333333"/>
                <w:shd w:val="clear" w:color="auto" w:fill="FFFFFF"/>
              </w:rPr>
              <w:t> пункту 28 цих особливостей</w:t>
            </w:r>
          </w:p>
          <w:p w14:paraId="49E0E17E" w14:textId="5308C004" w:rsidR="001958B7" w:rsidRDefault="00BA2B56">
            <w:pPr>
              <w:jc w:val="both"/>
            </w:pPr>
            <w:r>
              <w:t xml:space="preserve">1.8.3. </w:t>
            </w:r>
            <w:r w:rsidR="00FD1312">
              <w:t xml:space="preserve">Замовник інформує, що </w:t>
            </w:r>
            <w:r w:rsidR="00FD1312" w:rsidRPr="00BA2B56">
              <w:rPr>
                <w:u w:val="single"/>
              </w:rPr>
              <w:t>допускає</w:t>
            </w:r>
            <w:r w:rsidR="00FD1312">
              <w:t xml:space="preserve"> прийняття до розгляду тендерної пропозиції, ціна як</w:t>
            </w:r>
            <w:r>
              <w:t>а</w:t>
            </w:r>
            <w:r w:rsidR="00FD1312">
              <w:t xml:space="preserve"> є вищою</w:t>
            </w:r>
            <w:r>
              <w:t xml:space="preserve"> </w:t>
            </w:r>
            <w:r w:rsidRPr="00307364">
              <w:rPr>
                <w:u w:val="single"/>
              </w:rPr>
              <w:t>не більше ніж на 15%</w:t>
            </w:r>
            <w:r w:rsidR="00FD1312">
              <w:t>,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lastRenderedPageBreak/>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кольорових </w:t>
            </w:r>
            <w:proofErr w:type="spellStart"/>
            <w:r>
              <w:rPr>
                <w:rFonts w:ascii="Times New Roman" w:hAnsi="Times New Roman" w:cs="Times New Roman"/>
              </w:rPr>
              <w:t>скан</w:t>
            </w:r>
            <w:proofErr w:type="spellEnd"/>
            <w:r>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 xml:space="preserve">.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 xml:space="preserve">3.1.9. Усі документи, що подаються учасником у складі тендерної пропозиції, завантажуються в електронну систему </w:t>
            </w:r>
            <w:proofErr w:type="spellStart"/>
            <w:r>
              <w:t>закупівель</w:t>
            </w:r>
            <w:proofErr w:type="spellEnd"/>
            <w:r>
              <w:t xml:space="preserve">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xml:space="preserve">-  оригіналів документів, виданих учаснику іншими організаціями, </w:t>
            </w:r>
            <w:r>
              <w:lastRenderedPageBreak/>
              <w:t>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w:t>
            </w:r>
            <w:proofErr w:type="spellStart"/>
            <w:r>
              <w:t>zір</w:t>
            </w:r>
            <w:proofErr w:type="spellEnd"/>
            <w:r>
              <w:t xml:space="preserve"> або *.гаг, які містять в собі інші файли (дані, документи), </w:t>
            </w:r>
            <w:proofErr w:type="spellStart"/>
            <w:r>
              <w:t>заархівовані</w:t>
            </w:r>
            <w:proofErr w:type="spellEnd"/>
            <w:r>
              <w:t xml:space="preserve"> з використанням програмних засобів </w:t>
            </w:r>
            <w:proofErr w:type="spellStart"/>
            <w:r>
              <w:t>WinZip</w:t>
            </w:r>
            <w:proofErr w:type="spellEnd"/>
            <w:r>
              <w:t xml:space="preserve">, </w:t>
            </w:r>
            <w:proofErr w:type="spellStart"/>
            <w:r>
              <w:t>WinRAR</w:t>
            </w:r>
            <w:proofErr w:type="spellEnd"/>
            <w:r>
              <w:t>,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 xml:space="preserve">3.1.11. Будь-які файли, які подаються учасником у складі тендерної пропозиції (завантажуються в електронну систему </w:t>
            </w:r>
            <w:proofErr w:type="spellStart"/>
            <w:r>
              <w:t>закупівель</w:t>
            </w:r>
            <w:proofErr w:type="spellEnd"/>
            <w:r>
              <w:t>)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 xml:space="preserve">3.1.13. Під час використання електронної системи </w:t>
            </w:r>
            <w:proofErr w:type="spellStart"/>
            <w:r w:rsidRPr="00F9245A">
              <w:rPr>
                <w:rFonts w:ascii="Times New Roman" w:hAnsi="Times New Roman" w:cs="Times New Roman"/>
              </w:rPr>
              <w:t>закупівель</w:t>
            </w:r>
            <w:proofErr w:type="spellEnd"/>
            <w:r w:rsidRPr="00F9245A">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xml:space="preserve">)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w:t>
            </w:r>
            <w:r>
              <w:rPr>
                <w:rFonts w:ascii="Times New Roman" w:hAnsi="Times New Roman" w:cs="Times New Roman"/>
              </w:rPr>
              <w:lastRenderedPageBreak/>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9">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cs="Times New Roman"/>
              </w:rPr>
              <w:t>означатиме</w:t>
            </w:r>
            <w:proofErr w:type="spellEnd"/>
            <w:r>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Pr>
                <w:rFonts w:ascii="Times New Roman" w:hAnsi="Times New Roman" w:cs="Times New Roman"/>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0403FCD2" w14:textId="5187B97F" w:rsidR="00AC5857" w:rsidRPr="00AC5857" w:rsidRDefault="00AA3567" w:rsidP="00AC585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 xml:space="preserve">3) </w:t>
            </w:r>
            <w:r w:rsidRPr="00AC5857">
              <w:rPr>
                <w:rFonts w:ascii="Times New Roman" w:hAnsi="Times New Roman" w:cs="Times New Roman"/>
                <w:i/>
              </w:rPr>
              <w:t>Наявність документально підтвердженого досвіду виконання аналогічного (аналогічних) за предметом закупівлі договору (договорів);</w:t>
            </w:r>
          </w:p>
          <w:p w14:paraId="5EE41061" w14:textId="7AE67310" w:rsidR="00AC5857" w:rsidRPr="00AC5857" w:rsidRDefault="00AC5857" w:rsidP="00AC5857">
            <w:pPr>
              <w:widowControl/>
              <w:pBdr>
                <w:top w:val="nil"/>
                <w:left w:val="nil"/>
                <w:bottom w:val="nil"/>
                <w:right w:val="nil"/>
                <w:between w:val="nil"/>
              </w:pBdr>
              <w:jc w:val="both"/>
              <w:rPr>
                <w:rFonts w:ascii="Times New Roman" w:hAnsi="Times New Roman" w:cs="Times New Roman"/>
                <w:i/>
              </w:rPr>
            </w:pPr>
            <w:r w:rsidRPr="00AC5857">
              <w:rPr>
                <w:rFonts w:ascii="Times New Roman" w:hAnsi="Times New Roman" w:cs="Times New Roman"/>
                <w:i/>
              </w:rPr>
              <w:t>4)</w:t>
            </w:r>
            <w:r w:rsidRPr="00AC5857">
              <w:rPr>
                <w:rFonts w:ascii="Times New Roman" w:hAnsi="Times New Roman" w:cs="Times New Roman"/>
                <w:bCs/>
                <w:i/>
                <w:lang w:eastAsia="ru-RU"/>
              </w:rPr>
              <w:t xml:space="preserve"> </w:t>
            </w:r>
            <w:r>
              <w:rPr>
                <w:rFonts w:ascii="Times New Roman" w:hAnsi="Times New Roman" w:cs="Times New Roman"/>
                <w:bCs/>
                <w:i/>
                <w:lang w:eastAsia="ru-RU"/>
              </w:rPr>
              <w:t xml:space="preserve">   </w:t>
            </w:r>
            <w:r w:rsidRPr="00AC5857">
              <w:rPr>
                <w:rFonts w:ascii="Times New Roman" w:hAnsi="Times New Roman" w:cs="Times New Roman"/>
                <w:bCs/>
                <w:i/>
                <w:lang w:eastAsia="ru-RU"/>
              </w:rPr>
              <w:t>Наявність фінансової спроможності.</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 xml:space="preserve">аявність в учасника процедури закупівлі працівників відповідної кваліфікації, які мають </w:t>
                  </w:r>
                  <w:r w:rsidRPr="00B96139">
                    <w:rPr>
                      <w:rFonts w:ascii="Times New Roman" w:hAnsi="Times New Roman" w:cs="Times New Roman"/>
                      <w:i/>
                      <w:sz w:val="22"/>
                      <w:szCs w:val="22"/>
                    </w:rPr>
                    <w:lastRenderedPageBreak/>
                    <w:t>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lastRenderedPageBreak/>
                    <w:t xml:space="preserve">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w:t>
                  </w:r>
                  <w:r>
                    <w:rPr>
                      <w:sz w:val="22"/>
                      <w:szCs w:val="22"/>
                    </w:rPr>
                    <w:lastRenderedPageBreak/>
                    <w:t>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F9245A" w14:paraId="2A44E984" w14:textId="77777777" w:rsidTr="00F9245A">
              <w:trPr>
                <w:trHeight w:val="20"/>
              </w:trPr>
              <w:tc>
                <w:tcPr>
                  <w:tcW w:w="2562" w:type="dxa"/>
                  <w:vAlign w:val="center"/>
                </w:tcPr>
                <w:p w14:paraId="7D39D248" w14:textId="0553E595" w:rsidR="00F9245A" w:rsidRDefault="00F9245A" w:rsidP="00F9245A">
                  <w:pPr>
                    <w:pBdr>
                      <w:top w:val="nil"/>
                      <w:left w:val="nil"/>
                      <w:bottom w:val="nil"/>
                      <w:right w:val="nil"/>
                      <w:between w:val="nil"/>
                    </w:pBdr>
                    <w:ind w:left="40"/>
                    <w:jc w:val="center"/>
                    <w:rPr>
                      <w:rFonts w:ascii="Times New Roman" w:hAnsi="Times New Roman" w:cs="Times New Roman"/>
                      <w:i/>
                      <w:sz w:val="22"/>
                      <w:szCs w:val="22"/>
                    </w:rPr>
                  </w:pPr>
                  <w:r>
                    <w:rPr>
                      <w:i/>
                      <w:sz w:val="22"/>
                      <w:szCs w:val="22"/>
                    </w:rPr>
                    <w:t>4. Наявність фінансової спроможності, яка підтверджується фінансовою звітністю</w:t>
                  </w:r>
                </w:p>
              </w:tc>
              <w:tc>
                <w:tcPr>
                  <w:tcW w:w="5245" w:type="dxa"/>
                </w:tcPr>
                <w:p w14:paraId="7E9B26EB" w14:textId="77777777" w:rsidR="00F9245A" w:rsidRDefault="00F9245A" w:rsidP="00F9245A">
                  <w:pPr>
                    <w:widowControl/>
                    <w:pBdr>
                      <w:top w:val="nil"/>
                      <w:left w:val="nil"/>
                      <w:bottom w:val="nil"/>
                      <w:right w:val="nil"/>
                      <w:between w:val="nil"/>
                    </w:pBdr>
                    <w:ind w:left="-88"/>
                    <w:jc w:val="both"/>
                  </w:pPr>
                  <w:r>
                    <w:rPr>
                      <w:sz w:val="22"/>
                      <w:szCs w:val="22"/>
                    </w:rPr>
                    <w:t>4.1. Довідка про наявність фінансової спроможності, яка виконана згідно Форми №4 Додатку №1 до тендерної документації.</w:t>
                  </w:r>
                </w:p>
                <w:p w14:paraId="2E450E5E" w14:textId="21310281" w:rsidR="00F9245A" w:rsidRDefault="00F9245A" w:rsidP="00F9245A">
                  <w:pPr>
                    <w:widowControl/>
                    <w:pBdr>
                      <w:top w:val="nil"/>
                      <w:left w:val="nil"/>
                      <w:bottom w:val="nil"/>
                      <w:right w:val="nil"/>
                      <w:between w:val="nil"/>
                    </w:pBdr>
                    <w:ind w:left="-88"/>
                    <w:jc w:val="both"/>
                    <w:rPr>
                      <w:sz w:val="22"/>
                      <w:szCs w:val="22"/>
                    </w:rPr>
                  </w:pPr>
                  <w:r>
                    <w:rPr>
                      <w:sz w:val="22"/>
                      <w:szCs w:val="22"/>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Pr>
                <w:rFonts w:ascii="Times New Roman" w:hAnsi="Times New Roman" w:cs="Times New Roman"/>
              </w:rPr>
              <w:lastRenderedPageBreak/>
              <w:t>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w:t>
            </w:r>
            <w:proofErr w:type="spellStart"/>
            <w:r w:rsidR="00275E7B" w:rsidRPr="00275E7B">
              <w:rPr>
                <w:color w:val="000000" w:themeColor="text1"/>
                <w:shd w:val="clear" w:color="auto" w:fill="FFFFFF"/>
              </w:rPr>
              <w:t>бенефіціарний</w:t>
            </w:r>
            <w:proofErr w:type="spellEnd"/>
            <w:r w:rsidR="00275E7B" w:rsidRPr="00275E7B">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75E7B" w:rsidRPr="00275E7B">
              <w:rPr>
                <w:color w:val="000000" w:themeColor="text1"/>
                <w:shd w:val="clear" w:color="auto" w:fill="FFFFFF"/>
              </w:rPr>
              <w:t>закупівель</w:t>
            </w:r>
            <w:proofErr w:type="spellEnd"/>
            <w:r w:rsidR="00275E7B" w:rsidRPr="00275E7B">
              <w:rPr>
                <w:color w:val="000000" w:themeColor="text1"/>
                <w:shd w:val="clear" w:color="auto" w:fill="FFFFFF"/>
              </w:rPr>
              <w:t xml:space="preserve"> товарів, робіт і послуг згідно із </w:t>
            </w:r>
            <w:hyperlink r:id="rId10"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5599E66D" w14:textId="77777777" w:rsidR="00AC5857" w:rsidRPr="00AC5857" w:rsidRDefault="00FD1312" w:rsidP="00AC5857">
            <w:pPr>
              <w:keepNext/>
              <w:keepLines/>
              <w:ind w:right="120"/>
              <w:contextualSpacing/>
              <w:jc w:val="both"/>
              <w:rPr>
                <w:rFonts w:ascii="Times New Roman" w:hAnsi="Times New Roman" w:cs="Times New Roman"/>
                <w:lang w:eastAsia="ru-RU"/>
              </w:rPr>
            </w:pPr>
            <w:r>
              <w:rPr>
                <w:rFonts w:ascii="Times New Roman" w:hAnsi="Times New Roman" w:cs="Times New Roman"/>
              </w:rPr>
              <w:t xml:space="preserve">3.5.7. </w:t>
            </w:r>
            <w:r w:rsidR="00AC5857" w:rsidRPr="00A103E5">
              <w:rPr>
                <w:rFonts w:ascii="Times New Roman" w:hAnsi="Times New Roman" w:cs="Times New Roman"/>
                <w:color w:val="000000"/>
                <w:lang w:eastAsia="ru-RU"/>
              </w:rPr>
              <w:t xml:space="preserve">Перелік документів/інформації для підтвердження відповідності учасника </w:t>
            </w:r>
            <w:r w:rsidR="00AC5857" w:rsidRPr="00AC5857">
              <w:rPr>
                <w:rFonts w:ascii="Times New Roman" w:hAnsi="Times New Roman" w:cs="Times New Roman"/>
                <w:color w:val="000000"/>
                <w:lang w:eastAsia="ru-RU"/>
              </w:rPr>
              <w:t>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00AC5857" w:rsidRPr="00AC5857">
              <w:rPr>
                <w:rFonts w:ascii="Times New Roman" w:hAnsi="Times New Roman" w:cs="Times New Roman"/>
                <w:bCs/>
                <w:color w:val="000000"/>
                <w:lang w:eastAsia="ru-RU"/>
              </w:rPr>
              <w:t xml:space="preserve"> </w:t>
            </w:r>
            <w:r w:rsidR="00AC5857" w:rsidRPr="00AC5857">
              <w:rPr>
                <w:rFonts w:ascii="Times New Roman" w:hAnsi="Times New Roman" w:cs="Times New Roman"/>
                <w:bCs/>
                <w:iCs/>
                <w:color w:val="000000"/>
                <w:lang w:eastAsia="ru-RU"/>
              </w:rPr>
              <w:t>електронних полях</w:t>
            </w:r>
            <w:r w:rsidR="00AC5857" w:rsidRPr="00AC5857">
              <w:rPr>
                <w:rFonts w:ascii="Times New Roman" w:hAnsi="Times New Roman" w:cs="Times New Roman"/>
                <w:color w:val="000000"/>
                <w:lang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C5857" w:rsidRPr="00AC5857">
              <w:rPr>
                <w:rFonts w:ascii="Times New Roman" w:hAnsi="Times New Roman" w:cs="Times New Roman"/>
                <w:color w:val="000000"/>
                <w:lang w:eastAsia="ru-RU"/>
              </w:rPr>
              <w:t>закупівель</w:t>
            </w:r>
            <w:proofErr w:type="spellEnd"/>
            <w:r w:rsidR="00AC5857" w:rsidRPr="00AC5857">
              <w:rPr>
                <w:rFonts w:ascii="Times New Roman" w:hAnsi="Times New Roman" w:cs="Times New Roman"/>
                <w:color w:val="000000"/>
                <w:lang w:eastAsia="ru-RU"/>
              </w:rPr>
              <w:t xml:space="preserve"> під час подання тендерної пропозиції; для учасника-переможця – у Додатку 1 до цієї тендерної документації.</w:t>
            </w:r>
          </w:p>
          <w:p w14:paraId="68877D7D" w14:textId="04F0F551" w:rsidR="001958B7" w:rsidRDefault="00AC5857">
            <w:pPr>
              <w:widowControl/>
              <w:pBdr>
                <w:top w:val="nil"/>
                <w:left w:val="nil"/>
                <w:bottom w:val="nil"/>
                <w:right w:val="nil"/>
                <w:between w:val="nil"/>
              </w:pBdr>
              <w:shd w:val="clear" w:color="auto" w:fill="FFFFFF"/>
              <w:jc w:val="both"/>
              <w:rPr>
                <w:rFonts w:ascii="Times New Roman" w:hAnsi="Times New Roman" w:cs="Times New Roman"/>
              </w:rPr>
            </w:pPr>
            <w:r w:rsidRPr="00AC5857">
              <w:rPr>
                <w:rFonts w:ascii="Times New Roman" w:hAnsi="Times New Roman" w:cs="Times New Roman"/>
              </w:rPr>
              <w:t>3.5.8</w:t>
            </w:r>
            <w:r w:rsidR="00FD1312" w:rsidRPr="00AC5857">
              <w:rPr>
                <w:rFonts w:ascii="Times New Roman" w:hAnsi="Times New Roman" w:cs="Times New Roman"/>
              </w:rPr>
              <w:t>. За надання завідомо недостовірної інформації</w:t>
            </w:r>
            <w:r w:rsidR="00FD1312">
              <w:rPr>
                <w:rFonts w:ascii="Times New Roman" w:hAnsi="Times New Roman" w:cs="Times New Roman"/>
              </w:rPr>
              <w:t xml:space="preserve">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243DEB"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w:t>
            </w:r>
            <w:r w:rsidR="00AC5857">
              <w:rPr>
                <w:rFonts w:ascii="Times New Roman" w:hAnsi="Times New Roman" w:cs="Times New Roman"/>
              </w:rPr>
              <w:t>9</w:t>
            </w:r>
            <w:r>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8749EFC" w:rsidR="001958B7" w:rsidRDefault="00FD1312" w:rsidP="00AC5857">
            <w:pPr>
              <w:tabs>
                <w:tab w:val="left" w:pos="1080"/>
                <w:tab w:val="left" w:pos="10381"/>
              </w:tabs>
              <w:jc w:val="both"/>
              <w:rPr>
                <w:rFonts w:ascii="Times New Roman" w:hAnsi="Times New Roman" w:cs="Times New Roman"/>
              </w:rPr>
            </w:pPr>
            <w:r>
              <w:rPr>
                <w:rFonts w:ascii="Times New Roman" w:hAnsi="Times New Roman" w:cs="Times New Roman"/>
              </w:rPr>
              <w:t>3.5.1</w:t>
            </w:r>
            <w:r w:rsidR="00AC5857">
              <w:rPr>
                <w:rFonts w:ascii="Times New Roman" w:hAnsi="Times New Roman" w:cs="Times New Roman"/>
              </w:rPr>
              <w:t>0</w:t>
            </w:r>
            <w:r>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8. Інформація про </w:t>
            </w:r>
            <w:r>
              <w:rPr>
                <w:rFonts w:ascii="Times New Roman" w:hAnsi="Times New Roman" w:cs="Times New Roman"/>
                <w:b/>
                <w:color w:val="000000"/>
              </w:rPr>
              <w:lastRenderedPageBreak/>
              <w:t>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lastRenderedPageBreak/>
              <w:t xml:space="preserve">3.8.1. Залучення субпідрядників / співвиконавців не передбачено. Предмет </w:t>
            </w:r>
            <w:r w:rsidRPr="002171F8">
              <w:rPr>
                <w:rFonts w:ascii="Times New Roman" w:hAnsi="Times New Roman" w:cs="Times New Roman"/>
              </w:rPr>
              <w:lastRenderedPageBreak/>
              <w:t>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w:t>
            </w:r>
            <w:proofErr w:type="spellStart"/>
            <w:r>
              <w:rPr>
                <w:rFonts w:ascii="Times New Roman" w:hAnsi="Times New Roman" w:cs="Times New Roman"/>
              </w:rPr>
              <w:t>внести</w:t>
            </w:r>
            <w:proofErr w:type="spellEnd"/>
            <w:r>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87610E" w:rsidRDefault="00FD1312">
            <w:pPr>
              <w:widowControl/>
              <w:pBdr>
                <w:top w:val="nil"/>
                <w:left w:val="nil"/>
                <w:bottom w:val="nil"/>
                <w:right w:val="nil"/>
                <w:between w:val="nil"/>
              </w:pBdr>
              <w:rPr>
                <w:rFonts w:ascii="Times New Roman" w:hAnsi="Times New Roman" w:cs="Times New Roman"/>
              </w:rPr>
            </w:pPr>
            <w:r w:rsidRPr="0087610E">
              <w:rPr>
                <w:rFonts w:ascii="Times New Roman" w:hAnsi="Times New Roman" w:cs="Times New Roman"/>
              </w:rPr>
              <w:t>4.1.1. Кінцевий строк подання тендерних пропозицій:</w:t>
            </w:r>
          </w:p>
          <w:p w14:paraId="694EF6CA" w14:textId="7FDD0B64"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Дата – «</w:t>
            </w:r>
            <w:r w:rsidR="00780FEB">
              <w:rPr>
                <w:rFonts w:ascii="Times New Roman" w:hAnsi="Times New Roman" w:cs="Times New Roman"/>
                <w:b/>
              </w:rPr>
              <w:t>11</w:t>
            </w:r>
            <w:r w:rsidRPr="0087610E">
              <w:rPr>
                <w:rFonts w:ascii="Times New Roman" w:hAnsi="Times New Roman" w:cs="Times New Roman"/>
                <w:b/>
              </w:rPr>
              <w:t>»</w:t>
            </w:r>
            <w:r w:rsidR="00DA50D2" w:rsidRPr="0087610E">
              <w:rPr>
                <w:rFonts w:ascii="Times New Roman" w:hAnsi="Times New Roman" w:cs="Times New Roman"/>
                <w:b/>
              </w:rPr>
              <w:t xml:space="preserve"> </w:t>
            </w:r>
            <w:r w:rsidR="0087610E" w:rsidRPr="0087610E">
              <w:rPr>
                <w:rFonts w:ascii="Times New Roman" w:hAnsi="Times New Roman" w:cs="Times New Roman"/>
                <w:b/>
              </w:rPr>
              <w:t>березня</w:t>
            </w:r>
            <w:r w:rsidR="00DA50D2" w:rsidRPr="0087610E">
              <w:rPr>
                <w:rFonts w:ascii="Times New Roman" w:hAnsi="Times New Roman" w:cs="Times New Roman"/>
                <w:b/>
              </w:rPr>
              <w:t xml:space="preserve"> </w:t>
            </w:r>
            <w:r w:rsidRPr="0087610E">
              <w:rPr>
                <w:rFonts w:ascii="Times New Roman" w:hAnsi="Times New Roman" w:cs="Times New Roman"/>
                <w:b/>
              </w:rPr>
              <w:t>202</w:t>
            </w:r>
            <w:r w:rsidR="0087610E" w:rsidRPr="0087610E">
              <w:rPr>
                <w:rFonts w:ascii="Times New Roman" w:hAnsi="Times New Roman" w:cs="Times New Roman"/>
                <w:b/>
              </w:rPr>
              <w:t xml:space="preserve">4  </w:t>
            </w:r>
            <w:r w:rsidRPr="0087610E">
              <w:rPr>
                <w:rFonts w:ascii="Times New Roman" w:hAnsi="Times New Roman" w:cs="Times New Roman"/>
                <w:b/>
              </w:rPr>
              <w:t>року;</w:t>
            </w:r>
          </w:p>
          <w:p w14:paraId="155EA503"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Час - до 00:00 год.</w:t>
            </w:r>
          </w:p>
          <w:p w14:paraId="6AED20B4" w14:textId="77777777" w:rsidR="001958B7" w:rsidRPr="0087610E" w:rsidRDefault="00FD1312">
            <w:pPr>
              <w:widowControl/>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 xml:space="preserve">4.1.3. Електронна система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C1F916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 xml:space="preserve">4.1.4. Тендерні пропозиції, отримані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w:t>
            </w:r>
          </w:p>
          <w:p w14:paraId="325B981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одразу після завершення електронного аукціону.</w:t>
            </w:r>
          </w:p>
          <w:p w14:paraId="7EE7ADCE"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4.2.5. Протокол розкриття тендерних пропозицій формується та оприлюднюється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в день розкриття пропозицій за формою, установленою Уповноваженим органом.</w:t>
            </w:r>
          </w:p>
          <w:p w14:paraId="613D05B4"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4.2.6. Розмір мінімального кроку пониження ціни під час електронного аукціону складає – </w:t>
            </w:r>
            <w:r w:rsidRPr="0087610E">
              <w:rPr>
                <w:rFonts w:ascii="Times New Roman" w:hAnsi="Times New Roman" w:cs="Times New Roman"/>
                <w:b/>
              </w:rPr>
              <w:t>0,5 відсотка</w:t>
            </w:r>
            <w:r w:rsidRPr="0087610E">
              <w:rPr>
                <w:rFonts w:ascii="Times New Roman" w:hAnsi="Times New Roman" w:cs="Times New Roman"/>
              </w:rPr>
              <w:t xml:space="preserve"> 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Розділ</w:t>
            </w:r>
            <w:r w:rsidRPr="0087610E">
              <w:rPr>
                <w:rFonts w:ascii="Times New Roman" w:hAnsi="Times New Roman" w:cs="Times New Roman"/>
              </w:rPr>
              <w:t> </w:t>
            </w:r>
            <w:r w:rsidRPr="0087610E">
              <w:rPr>
                <w:rFonts w:ascii="Times New Roman" w:hAnsi="Times New Roman" w:cs="Times New Roman"/>
                <w:b/>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1. Перелік критеріїв оцінки та методика оцінки тендерних пропозицій із зазначенням питомої </w:t>
            </w:r>
            <w:r>
              <w:rPr>
                <w:rFonts w:ascii="Times New Roman" w:hAnsi="Times New Roman" w:cs="Times New Roman"/>
                <w:b/>
                <w:color w:val="000000"/>
              </w:rPr>
              <w:lastRenderedPageBreak/>
              <w:t>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87610E" w:rsidRDefault="00FD1312">
            <w:pPr>
              <w:jc w:val="both"/>
              <w:rPr>
                <w:rFonts w:ascii="Times New Roman" w:hAnsi="Times New Roman" w:cs="Times New Roman"/>
              </w:rPr>
            </w:pPr>
            <w:r w:rsidRPr="0087610E">
              <w:rPr>
                <w:rFonts w:ascii="Times New Roman" w:hAnsi="Times New Roman" w:cs="Times New Roman"/>
              </w:rPr>
              <w:lastRenderedPageBreak/>
              <w:t xml:space="preserve">5.1.1. Оцінка тендерних пропозицій проводиться автоматично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87610E" w:rsidRDefault="00FD1312">
            <w:pPr>
              <w:jc w:val="both"/>
              <w:rPr>
                <w:rFonts w:ascii="Times New Roman" w:hAnsi="Times New Roman" w:cs="Times New Roman"/>
                <w:b/>
              </w:rPr>
            </w:pPr>
            <w:r w:rsidRPr="0087610E">
              <w:rPr>
                <w:rFonts w:ascii="Times New Roman" w:hAnsi="Times New Roman" w:cs="Times New Roman"/>
              </w:rPr>
              <w:lastRenderedPageBreak/>
              <w:t xml:space="preserve">5.1.2. </w:t>
            </w:r>
            <w:r w:rsidRPr="0087610E">
              <w:rPr>
                <w:rFonts w:ascii="Times New Roman" w:hAnsi="Times New Roman" w:cs="Times New Roman"/>
                <w:b/>
              </w:rPr>
              <w:t>Критерії та методика оцінки:</w:t>
            </w:r>
          </w:p>
          <w:p w14:paraId="5DC5C155"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Єдиним критерієм оцінки згідно даної процедури відкритих торгів є </w:t>
            </w:r>
            <w:r w:rsidRPr="0087610E">
              <w:rPr>
                <w:rFonts w:ascii="Times New Roman" w:hAnsi="Times New Roman" w:cs="Times New Roman"/>
                <w:b/>
              </w:rPr>
              <w:t xml:space="preserve">ЦІНА </w:t>
            </w:r>
            <w:r w:rsidRPr="0087610E">
              <w:rPr>
                <w:rFonts w:ascii="Times New Roman" w:hAnsi="Times New Roman" w:cs="Times New Roman"/>
              </w:rPr>
              <w:t xml:space="preserve">(питома вага критерію – 100%). </w:t>
            </w:r>
          </w:p>
          <w:p w14:paraId="0696CDCC"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87610E" w:rsidRDefault="00FD1312">
            <w:pPr>
              <w:ind w:left="51"/>
              <w:jc w:val="both"/>
              <w:rPr>
                <w:rFonts w:ascii="Times New Roman" w:hAnsi="Times New Roman" w:cs="Times New Roman"/>
              </w:rPr>
            </w:pPr>
            <w:r w:rsidRPr="0087610E">
              <w:rPr>
                <w:rFonts w:ascii="Times New Roman" w:hAnsi="Times New Roman" w:cs="Times New Roman"/>
              </w:rPr>
              <w:t xml:space="preserve">5.1.4. Якщо була подана одна тендерна пропозиція, електронна система </w:t>
            </w:r>
            <w:proofErr w:type="spellStart"/>
            <w:r w:rsidRPr="0087610E">
              <w:rPr>
                <w:rFonts w:ascii="Times New Roman" w:hAnsi="Times New Roman" w:cs="Times New Roman"/>
              </w:rPr>
              <w:t>закупівель</w:t>
            </w:r>
            <w:proofErr w:type="spellEnd"/>
            <w:r w:rsidRPr="0087610E">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6" w:name="bookmark=id.tyjcwt" w:colFirst="0" w:colLast="0"/>
            <w:bookmarkEnd w:id="6"/>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7" w:name="bookmark=id.3dy6vkm" w:colFirst="0" w:colLast="0"/>
            <w:bookmarkEnd w:id="7"/>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8" w:name="bookmark=id.1t3h5sf" w:colFirst="0" w:colLast="0"/>
            <w:bookmarkEnd w:id="8"/>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 xml:space="preserve">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Pr>
                <w:rFonts w:ascii="Times New Roman" w:hAnsi="Times New Roman" w:cs="Times New Roman"/>
              </w:rPr>
              <w:lastRenderedPageBreak/>
              <w:t xml:space="preserve">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rPr>
              <w:t>невідповідностей</w:t>
            </w:r>
            <w:proofErr w:type="spellEnd"/>
            <w:r>
              <w:rPr>
                <w:rFonts w:ascii="Times New Roman" w:hAnsi="Times New Roman" w:cs="Times New Roman"/>
              </w:rPr>
              <w:t>.</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повідомлення з вимогою про усунення таких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01087855" w14:textId="77777777" w:rsidR="0087610E" w:rsidRPr="001B601D" w:rsidRDefault="0087610E" w:rsidP="0087610E">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B601D">
              <w:rPr>
                <w:shd w:val="clear" w:color="auto" w:fill="FFFFFF"/>
              </w:rPr>
              <w:t>бенефіціарним</w:t>
            </w:r>
            <w:proofErr w:type="spellEnd"/>
            <w:r w:rsidRPr="001B601D">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1B601D">
                <w:rPr>
                  <w:u w:val="single"/>
                  <w:shd w:val="clear" w:color="auto" w:fill="FFFFFF"/>
                </w:rPr>
                <w:t>№ 1178</w:t>
              </w:r>
            </w:hyperlink>
            <w:r w:rsidRPr="001B601D">
              <w:rPr>
                <w:shd w:val="clear" w:color="auto" w:fill="FFFFFF"/>
              </w:rPr>
              <w:t xml:space="preserve"> “Про затвердження особливостей здійснення публічних </w:t>
            </w:r>
            <w:proofErr w:type="spellStart"/>
            <w:r w:rsidRPr="001B601D">
              <w:rPr>
                <w:shd w:val="clear" w:color="auto" w:fill="FFFFFF"/>
              </w:rPr>
              <w:t>закупівель</w:t>
            </w:r>
            <w:proofErr w:type="spellEnd"/>
            <w:r w:rsidRPr="001B601D">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hAnsi="Times New Roman" w:cs="Times New Roman"/>
                <w:color w:val="000000"/>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але до моменту оприлюднення договору про закупівлю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використання слова або </w:t>
            </w:r>
            <w:proofErr w:type="spellStart"/>
            <w:r>
              <w:rPr>
                <w:rFonts w:ascii="Times New Roman" w:hAnsi="Times New Roman" w:cs="Times New Roman"/>
              </w:rPr>
              <w:t>мовного</w:t>
            </w:r>
            <w:proofErr w:type="spellEnd"/>
            <w:r>
              <w:rPr>
                <w:rFonts w:ascii="Times New Roman" w:hAnsi="Times New Roman" w:cs="Times New Roman"/>
              </w:rPr>
              <w:t xml:space="preserve">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 xml:space="preserve">6.1.3. Відкриті торги автоматично відміняються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 xml:space="preserve">6.1.4.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 xml:space="preserve">6.2.2.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rPr>
              <w:t>закупівель</w:t>
            </w:r>
            <w:proofErr w:type="spellEnd"/>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lastRenderedPageBreak/>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6.3.4. У разі подання скарги до органу оскарження після оприлюднення в електронній системі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9" w:name="bookmark=id.4d34og8" w:colFirst="0" w:colLast="0"/>
            <w:bookmarkEnd w:id="9"/>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0" w:name="bookmark=id.2s8eyo1" w:colFirst="0" w:colLast="0"/>
            <w:bookmarkEnd w:id="10"/>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1" w:name="bookmark=id.17dp8vu" w:colFirst="0" w:colLast="0"/>
            <w:bookmarkEnd w:id="11"/>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p>
          <w:p w14:paraId="49BC300D" w14:textId="77777777" w:rsidR="001958B7" w:rsidRDefault="00FD1312">
            <w:pPr>
              <w:tabs>
                <w:tab w:val="left" w:pos="407"/>
              </w:tabs>
              <w:jc w:val="both"/>
              <w:rPr>
                <w:rFonts w:ascii="Times New Roman" w:hAnsi="Times New Roman" w:cs="Times New Roman"/>
              </w:rPr>
            </w:pPr>
            <w:bookmarkStart w:id="12" w:name="_heading=h.3rdcrjn" w:colFirst="0" w:colLast="0"/>
            <w:bookmarkEnd w:id="12"/>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ціни такого товару на ринку </w:t>
            </w:r>
            <w:r>
              <w:rPr>
                <w:rFonts w:ascii="Times New Roman" w:hAnsi="Times New Roman" w:cs="Times New Roman"/>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71B0859E" w:rsidR="001958B7" w:rsidRDefault="00FD1312">
            <w:pPr>
              <w:jc w:val="both"/>
              <w:rPr>
                <w:rFonts w:ascii="Times New Roman" w:hAnsi="Times New Roman" w:cs="Times New Roman"/>
              </w:rPr>
            </w:pPr>
            <w:r>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hAnsi="Times New Roman" w:cs="Times New Roman"/>
              </w:rPr>
              <w:t>оперативно</w:t>
            </w:r>
            <w:proofErr w:type="spellEnd"/>
            <w:r>
              <w:rPr>
                <w:rFonts w:ascii="Times New Roman" w:hAnsi="Times New Roman" w:cs="Times New Roman"/>
              </w:rPr>
              <w:t>-господарські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7. Розмір, вид, строк та умови надання, повернення та </w:t>
            </w:r>
            <w:r>
              <w:rPr>
                <w:rFonts w:ascii="Times New Roman" w:hAnsi="Times New Roman" w:cs="Times New Roman"/>
                <w:b/>
                <w:color w:val="000000"/>
              </w:rPr>
              <w:lastRenderedPageBreak/>
              <w:t>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lastRenderedPageBreak/>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561B" w14:textId="77777777" w:rsidR="00567929" w:rsidRDefault="00567929" w:rsidP="007E13A3">
      <w:r>
        <w:separator/>
      </w:r>
    </w:p>
  </w:endnote>
  <w:endnote w:type="continuationSeparator" w:id="0">
    <w:p w14:paraId="520F0FE3" w14:textId="77777777" w:rsidR="00567929" w:rsidRDefault="00567929"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2C95" w14:textId="77777777" w:rsidR="00567929" w:rsidRDefault="00567929" w:rsidP="007E13A3">
      <w:r>
        <w:separator/>
      </w:r>
    </w:p>
  </w:footnote>
  <w:footnote w:type="continuationSeparator" w:id="0">
    <w:p w14:paraId="2E735B14" w14:textId="77777777" w:rsidR="00567929" w:rsidRDefault="00567929"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0740326">
    <w:abstractNumId w:val="7"/>
  </w:num>
  <w:num w:numId="2" w16cid:durableId="1370178408">
    <w:abstractNumId w:val="5"/>
  </w:num>
  <w:num w:numId="3" w16cid:durableId="313682948">
    <w:abstractNumId w:val="1"/>
  </w:num>
  <w:num w:numId="4" w16cid:durableId="592589262">
    <w:abstractNumId w:val="8"/>
  </w:num>
  <w:num w:numId="5" w16cid:durableId="265503474">
    <w:abstractNumId w:val="2"/>
  </w:num>
  <w:num w:numId="6" w16cid:durableId="2040426228">
    <w:abstractNumId w:val="4"/>
  </w:num>
  <w:num w:numId="7" w16cid:durableId="788858283">
    <w:abstractNumId w:val="9"/>
  </w:num>
  <w:num w:numId="8" w16cid:durableId="276564560">
    <w:abstractNumId w:val="6"/>
  </w:num>
  <w:num w:numId="9" w16cid:durableId="2017152502">
    <w:abstractNumId w:val="3"/>
  </w:num>
  <w:num w:numId="10" w16cid:durableId="38457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7"/>
    <w:rsid w:val="00005905"/>
    <w:rsid w:val="00020337"/>
    <w:rsid w:val="000208EC"/>
    <w:rsid w:val="00031119"/>
    <w:rsid w:val="000D27DD"/>
    <w:rsid w:val="0014017E"/>
    <w:rsid w:val="001539FA"/>
    <w:rsid w:val="001958B7"/>
    <w:rsid w:val="002171F8"/>
    <w:rsid w:val="00275E7B"/>
    <w:rsid w:val="002C3940"/>
    <w:rsid w:val="002D546D"/>
    <w:rsid w:val="002F2AA4"/>
    <w:rsid w:val="00307364"/>
    <w:rsid w:val="00310948"/>
    <w:rsid w:val="00327A30"/>
    <w:rsid w:val="00337917"/>
    <w:rsid w:val="00382A15"/>
    <w:rsid w:val="00384E60"/>
    <w:rsid w:val="003A0254"/>
    <w:rsid w:val="003D65AC"/>
    <w:rsid w:val="00407023"/>
    <w:rsid w:val="004277D5"/>
    <w:rsid w:val="00475F88"/>
    <w:rsid w:val="00481B23"/>
    <w:rsid w:val="00505320"/>
    <w:rsid w:val="00547F4C"/>
    <w:rsid w:val="005526FF"/>
    <w:rsid w:val="005553B0"/>
    <w:rsid w:val="00565F7F"/>
    <w:rsid w:val="00567929"/>
    <w:rsid w:val="005C54E3"/>
    <w:rsid w:val="005D6FB3"/>
    <w:rsid w:val="00600D58"/>
    <w:rsid w:val="00607A6B"/>
    <w:rsid w:val="00647FF1"/>
    <w:rsid w:val="006579C6"/>
    <w:rsid w:val="00660160"/>
    <w:rsid w:val="00670431"/>
    <w:rsid w:val="00680CFC"/>
    <w:rsid w:val="006A69AA"/>
    <w:rsid w:val="006D43C4"/>
    <w:rsid w:val="007107E7"/>
    <w:rsid w:val="00720F00"/>
    <w:rsid w:val="007446BB"/>
    <w:rsid w:val="007664B1"/>
    <w:rsid w:val="00780FEB"/>
    <w:rsid w:val="007841A2"/>
    <w:rsid w:val="007956C3"/>
    <w:rsid w:val="007B7315"/>
    <w:rsid w:val="007E13A3"/>
    <w:rsid w:val="007F1D7D"/>
    <w:rsid w:val="0082009A"/>
    <w:rsid w:val="00844D47"/>
    <w:rsid w:val="008741A0"/>
    <w:rsid w:val="0087610E"/>
    <w:rsid w:val="00897270"/>
    <w:rsid w:val="00965280"/>
    <w:rsid w:val="0098649F"/>
    <w:rsid w:val="009D2D4D"/>
    <w:rsid w:val="009E70A4"/>
    <w:rsid w:val="009F3B52"/>
    <w:rsid w:val="009F5AC2"/>
    <w:rsid w:val="00A04AE1"/>
    <w:rsid w:val="00A348C8"/>
    <w:rsid w:val="00A41E24"/>
    <w:rsid w:val="00A6758B"/>
    <w:rsid w:val="00A7564E"/>
    <w:rsid w:val="00A807E2"/>
    <w:rsid w:val="00A843EB"/>
    <w:rsid w:val="00AA3567"/>
    <w:rsid w:val="00AC5857"/>
    <w:rsid w:val="00AF3A20"/>
    <w:rsid w:val="00B07AE6"/>
    <w:rsid w:val="00B110B4"/>
    <w:rsid w:val="00B36F28"/>
    <w:rsid w:val="00B44D73"/>
    <w:rsid w:val="00B531CC"/>
    <w:rsid w:val="00B815AD"/>
    <w:rsid w:val="00B82D9F"/>
    <w:rsid w:val="00B9319A"/>
    <w:rsid w:val="00B95F80"/>
    <w:rsid w:val="00B96139"/>
    <w:rsid w:val="00BA2B56"/>
    <w:rsid w:val="00BC0474"/>
    <w:rsid w:val="00C11B6E"/>
    <w:rsid w:val="00C26730"/>
    <w:rsid w:val="00C46416"/>
    <w:rsid w:val="00C5251B"/>
    <w:rsid w:val="00CE5D89"/>
    <w:rsid w:val="00D257AC"/>
    <w:rsid w:val="00D4316C"/>
    <w:rsid w:val="00D5512E"/>
    <w:rsid w:val="00D9610D"/>
    <w:rsid w:val="00DA50D2"/>
    <w:rsid w:val="00DB3497"/>
    <w:rsid w:val="00DC1681"/>
    <w:rsid w:val="00DC4B49"/>
    <w:rsid w:val="00DD733C"/>
    <w:rsid w:val="00E4468B"/>
    <w:rsid w:val="00E61585"/>
    <w:rsid w:val="00E926B2"/>
    <w:rsid w:val="00EE3F08"/>
    <w:rsid w:val="00F110E3"/>
    <w:rsid w:val="00F25570"/>
    <w:rsid w:val="00F363A2"/>
    <w:rsid w:val="00F72F72"/>
    <w:rsid w:val="00F86594"/>
    <w:rsid w:val="00F9245A"/>
    <w:rsid w:val="00FB77C9"/>
    <w:rsid w:val="00FC5950"/>
    <w:rsid w:val="00FD1312"/>
    <w:rsid w:val="00FD62CF"/>
    <w:rsid w:val="00FE0D78"/>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44084</Words>
  <Characters>25129</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Law Ideology</cp:lastModifiedBy>
  <cp:revision>4</cp:revision>
  <dcterms:created xsi:type="dcterms:W3CDTF">2024-03-06T12:51:00Z</dcterms:created>
  <dcterms:modified xsi:type="dcterms:W3CDTF">2024-03-06T12:53:00Z</dcterms:modified>
</cp:coreProperties>
</file>