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2BCA61" w14:textId="5FAD53DA" w:rsidR="009B33EB" w:rsidRDefault="009B33EB" w:rsidP="009B33E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3FFFAF80" w14:textId="19AC4406" w:rsidR="009B33EB" w:rsidRPr="005C0AD0" w:rsidRDefault="009B33EB" w:rsidP="009B33EB">
      <w:pPr>
        <w:spacing w:line="264" w:lineRule="auto"/>
        <w:jc w:val="center"/>
        <w:rPr>
          <w:b/>
          <w:sz w:val="40"/>
          <w:szCs w:val="40"/>
        </w:rPr>
      </w:pPr>
      <w:r w:rsidRPr="000E3D3D">
        <w:rPr>
          <w:b/>
          <w:sz w:val="40"/>
          <w:szCs w:val="40"/>
        </w:rPr>
        <w:t>«</w:t>
      </w:r>
      <w:r w:rsidR="000643DA" w:rsidRPr="005C0AD0">
        <w:rPr>
          <w:b/>
          <w:sz w:val="40"/>
          <w:szCs w:val="40"/>
        </w:rPr>
        <w:t>Хмельницьк</w:t>
      </w:r>
      <w:r w:rsidR="005060AA">
        <w:rPr>
          <w:b/>
          <w:sz w:val="40"/>
          <w:szCs w:val="40"/>
        </w:rPr>
        <w:t>ий</w:t>
      </w:r>
      <w:r w:rsidR="000643DA" w:rsidRPr="005C0AD0">
        <w:rPr>
          <w:b/>
          <w:sz w:val="40"/>
          <w:szCs w:val="40"/>
        </w:rPr>
        <w:t xml:space="preserve"> </w:t>
      </w:r>
      <w:r w:rsidR="005060AA">
        <w:rPr>
          <w:b/>
          <w:sz w:val="40"/>
          <w:szCs w:val="40"/>
        </w:rPr>
        <w:t>міський перинатальний центр</w:t>
      </w:r>
      <w:r w:rsidRPr="000E3D3D">
        <w:rPr>
          <w:b/>
          <w:sz w:val="40"/>
          <w:szCs w:val="40"/>
        </w:rPr>
        <w:t>»</w:t>
      </w:r>
      <w:r>
        <w:rPr>
          <w:b/>
          <w:sz w:val="40"/>
          <w:szCs w:val="40"/>
        </w:rPr>
        <w:t xml:space="preserve"> </w:t>
      </w:r>
    </w:p>
    <w:p w14:paraId="4EFC872F" w14:textId="7BB39F4E" w:rsidR="009B33EB" w:rsidRPr="005C0AD0" w:rsidRDefault="000643DA" w:rsidP="009B33EB">
      <w:pPr>
        <w:spacing w:line="264" w:lineRule="auto"/>
        <w:jc w:val="center"/>
        <w:rPr>
          <w:b/>
          <w:bCs/>
          <w:sz w:val="38"/>
          <w:szCs w:val="38"/>
        </w:rPr>
      </w:pPr>
      <w:r w:rsidRPr="005C0AD0">
        <w:rPr>
          <w:b/>
          <w:sz w:val="40"/>
          <w:szCs w:val="40"/>
        </w:rPr>
        <w:t xml:space="preserve">Хмельницької </w:t>
      </w:r>
      <w:r w:rsidR="004B25E6" w:rsidRPr="005C0AD0">
        <w:rPr>
          <w:b/>
          <w:sz w:val="40"/>
          <w:szCs w:val="40"/>
        </w:rPr>
        <w:t>міської</w:t>
      </w:r>
      <w:r w:rsidRPr="005C0AD0">
        <w:rPr>
          <w:b/>
          <w:sz w:val="40"/>
          <w:szCs w:val="40"/>
        </w:rPr>
        <w:t xml:space="preserve">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9B33EB" w:rsidRPr="00912256" w14:paraId="5419FA31" w14:textId="77777777" w:rsidTr="00ED3230">
        <w:tc>
          <w:tcPr>
            <w:tcW w:w="3931" w:type="dxa"/>
            <w:tcBorders>
              <w:top w:val="nil"/>
              <w:left w:val="nil"/>
              <w:bottom w:val="nil"/>
              <w:right w:val="nil"/>
            </w:tcBorders>
          </w:tcPr>
          <w:p w14:paraId="48DAED11" w14:textId="77777777" w:rsidR="009B33EB" w:rsidRPr="00860C9E" w:rsidRDefault="009B33EB" w:rsidP="00ED3230">
            <w:pPr>
              <w:spacing w:line="264" w:lineRule="auto"/>
              <w:rPr>
                <w:b/>
                <w:bCs/>
                <w:sz w:val="28"/>
                <w:szCs w:val="28"/>
              </w:rPr>
            </w:pPr>
          </w:p>
        </w:tc>
        <w:tc>
          <w:tcPr>
            <w:tcW w:w="6120" w:type="dxa"/>
            <w:tcBorders>
              <w:top w:val="nil"/>
              <w:left w:val="nil"/>
              <w:bottom w:val="nil"/>
              <w:right w:val="nil"/>
            </w:tcBorders>
          </w:tcPr>
          <w:p w14:paraId="11C57A99" w14:textId="77777777" w:rsidR="009B33EB" w:rsidRDefault="009B33EB" w:rsidP="00C254EC">
            <w:pPr>
              <w:spacing w:line="264" w:lineRule="auto"/>
              <w:jc w:val="right"/>
              <w:rPr>
                <w:b/>
                <w:bCs/>
                <w:noProof/>
              </w:rPr>
            </w:pPr>
          </w:p>
          <w:p w14:paraId="17F95AB8" w14:textId="44152E99" w:rsidR="009B33EB" w:rsidRPr="00860C9E" w:rsidRDefault="009B33EB" w:rsidP="00C254EC">
            <w:pPr>
              <w:spacing w:line="264" w:lineRule="auto"/>
              <w:jc w:val="right"/>
              <w:rPr>
                <w:b/>
                <w:bCs/>
                <w:noProof/>
              </w:rPr>
            </w:pPr>
            <w:r>
              <w:rPr>
                <w:b/>
                <w:bCs/>
                <w:noProof/>
              </w:rPr>
              <w:t xml:space="preserve">              </w:t>
            </w:r>
            <w:r w:rsidR="000643DA" w:rsidRPr="005C0AD0">
              <w:rPr>
                <w:b/>
                <w:bCs/>
                <w:noProof/>
              </w:rPr>
              <w:t xml:space="preserve">              </w:t>
            </w:r>
            <w:r>
              <w:rPr>
                <w:b/>
                <w:bCs/>
                <w:noProof/>
              </w:rPr>
              <w:t xml:space="preserve">  </w:t>
            </w:r>
            <w:r w:rsidRPr="00860C9E">
              <w:rPr>
                <w:b/>
                <w:bCs/>
                <w:noProof/>
              </w:rPr>
              <w:t xml:space="preserve">ЗАТВЕРДЖЕНО </w:t>
            </w:r>
          </w:p>
        </w:tc>
      </w:tr>
      <w:tr w:rsidR="009B33EB" w:rsidRPr="00912256" w14:paraId="1AB8FA46" w14:textId="77777777" w:rsidTr="00982409">
        <w:trPr>
          <w:trHeight w:val="669"/>
        </w:trPr>
        <w:tc>
          <w:tcPr>
            <w:tcW w:w="3931" w:type="dxa"/>
            <w:tcBorders>
              <w:top w:val="nil"/>
              <w:left w:val="nil"/>
              <w:bottom w:val="nil"/>
              <w:right w:val="nil"/>
            </w:tcBorders>
          </w:tcPr>
          <w:p w14:paraId="03A0103B" w14:textId="066C7D05" w:rsidR="009B33EB" w:rsidRPr="00860C9E" w:rsidRDefault="009B33EB" w:rsidP="00ED3230">
            <w:pPr>
              <w:spacing w:line="264" w:lineRule="auto"/>
              <w:rPr>
                <w:b/>
                <w:bCs/>
                <w:sz w:val="28"/>
                <w:szCs w:val="28"/>
              </w:rPr>
            </w:pPr>
            <w:r w:rsidRPr="00860C9E">
              <w:rPr>
                <w:b/>
                <w:bCs/>
                <w:sz w:val="28"/>
                <w:szCs w:val="28"/>
              </w:rPr>
              <w:t xml:space="preserve"> </w:t>
            </w:r>
            <w:r w:rsidR="004B25E6">
              <w:rPr>
                <w:b/>
                <w:bCs/>
                <w:sz w:val="28"/>
                <w:szCs w:val="28"/>
              </w:rPr>
              <w:t xml:space="preserve">                                   </w:t>
            </w:r>
          </w:p>
        </w:tc>
        <w:tc>
          <w:tcPr>
            <w:tcW w:w="6120" w:type="dxa"/>
            <w:tcBorders>
              <w:top w:val="nil"/>
              <w:left w:val="nil"/>
              <w:bottom w:val="nil"/>
              <w:right w:val="nil"/>
            </w:tcBorders>
          </w:tcPr>
          <w:p w14:paraId="6D64DD93" w14:textId="77777777" w:rsidR="004B25E6" w:rsidRDefault="009B33EB" w:rsidP="00C254EC">
            <w:pPr>
              <w:spacing w:line="264" w:lineRule="auto"/>
              <w:jc w:val="right"/>
              <w:rPr>
                <w:b/>
                <w:bCs/>
              </w:rPr>
            </w:pPr>
            <w:r>
              <w:rPr>
                <w:b/>
                <w:bCs/>
              </w:rPr>
              <w:t xml:space="preserve">                </w:t>
            </w:r>
            <w:r w:rsidRPr="00860C9E">
              <w:rPr>
                <w:b/>
                <w:bCs/>
              </w:rPr>
              <w:t xml:space="preserve">РІШЕННЯМ </w:t>
            </w:r>
            <w:r>
              <w:rPr>
                <w:b/>
                <w:bCs/>
              </w:rPr>
              <w:t>УПОВНОВАЖЕНОЇ ОСОБИ</w:t>
            </w:r>
            <w:r w:rsidR="004B25E6">
              <w:rPr>
                <w:b/>
                <w:bCs/>
              </w:rPr>
              <w:t xml:space="preserve"> </w:t>
            </w:r>
          </w:p>
          <w:p w14:paraId="2E9B6686" w14:textId="3D822F35" w:rsidR="004B25E6" w:rsidRPr="00860C9E" w:rsidRDefault="004B25E6" w:rsidP="005060AA">
            <w:pPr>
              <w:spacing w:line="264" w:lineRule="auto"/>
              <w:jc w:val="right"/>
              <w:rPr>
                <w:b/>
                <w:bCs/>
              </w:rPr>
            </w:pPr>
            <w:r>
              <w:rPr>
                <w:b/>
                <w:bCs/>
              </w:rPr>
              <w:t xml:space="preserve">               </w:t>
            </w:r>
            <w:r w:rsidR="00AE4089">
              <w:rPr>
                <w:b/>
                <w:bCs/>
              </w:rPr>
              <w:t xml:space="preserve"> </w:t>
            </w:r>
            <w:r w:rsidR="005060AA">
              <w:rPr>
                <w:b/>
                <w:bCs/>
              </w:rPr>
              <w:t>Зоряна ВАНДОЛЯК</w:t>
            </w:r>
          </w:p>
        </w:tc>
      </w:tr>
      <w:tr w:rsidR="00F836D2" w:rsidRPr="00F836D2" w14:paraId="5BBFAC1D" w14:textId="77777777" w:rsidTr="00ED3230">
        <w:tc>
          <w:tcPr>
            <w:tcW w:w="3931" w:type="dxa"/>
            <w:tcBorders>
              <w:top w:val="nil"/>
              <w:left w:val="nil"/>
              <w:bottom w:val="nil"/>
              <w:right w:val="nil"/>
            </w:tcBorders>
          </w:tcPr>
          <w:p w14:paraId="45660FDE" w14:textId="77777777" w:rsidR="009B33EB" w:rsidRPr="000E3D3D" w:rsidRDefault="009B33EB" w:rsidP="00ED3230">
            <w:pPr>
              <w:spacing w:line="264" w:lineRule="auto"/>
              <w:rPr>
                <w:b/>
                <w:bCs/>
                <w:color w:val="FF0000"/>
              </w:rPr>
            </w:pPr>
          </w:p>
        </w:tc>
        <w:tc>
          <w:tcPr>
            <w:tcW w:w="6120" w:type="dxa"/>
            <w:tcBorders>
              <w:top w:val="nil"/>
              <w:left w:val="nil"/>
              <w:bottom w:val="nil"/>
              <w:right w:val="nil"/>
            </w:tcBorders>
          </w:tcPr>
          <w:p w14:paraId="777B9994" w14:textId="74266F44" w:rsidR="009B33EB" w:rsidRPr="006468F8" w:rsidRDefault="009B33EB" w:rsidP="005060AA">
            <w:pPr>
              <w:spacing w:line="264" w:lineRule="auto"/>
              <w:jc w:val="right"/>
              <w:rPr>
                <w:b/>
                <w:bCs/>
                <w:lang w:val="ru-RU"/>
              </w:rPr>
            </w:pPr>
            <w:r w:rsidRPr="00F836D2">
              <w:rPr>
                <w:b/>
                <w:bCs/>
                <w:color w:val="FF0000"/>
              </w:rPr>
              <w:t xml:space="preserve">                </w:t>
            </w:r>
            <w:r w:rsidRPr="006468F8">
              <w:rPr>
                <w:b/>
                <w:bCs/>
              </w:rPr>
              <w:t>ПРОТОКОЛ</w:t>
            </w:r>
          </w:p>
        </w:tc>
      </w:tr>
      <w:tr w:rsidR="009B33EB" w:rsidRPr="00912256" w14:paraId="32471062" w14:textId="77777777" w:rsidTr="00ED3230">
        <w:tc>
          <w:tcPr>
            <w:tcW w:w="3931" w:type="dxa"/>
            <w:tcBorders>
              <w:top w:val="nil"/>
              <w:left w:val="nil"/>
              <w:bottom w:val="nil"/>
              <w:right w:val="nil"/>
            </w:tcBorders>
          </w:tcPr>
          <w:p w14:paraId="633ABD5C" w14:textId="77777777" w:rsidR="009B33EB" w:rsidRPr="000E3D3D" w:rsidRDefault="009B33EB" w:rsidP="00ED3230">
            <w:pPr>
              <w:spacing w:line="264" w:lineRule="auto"/>
              <w:rPr>
                <w:b/>
                <w:bCs/>
                <w:color w:val="FF0000"/>
                <w:sz w:val="28"/>
                <w:szCs w:val="28"/>
              </w:rPr>
            </w:pPr>
          </w:p>
        </w:tc>
        <w:tc>
          <w:tcPr>
            <w:tcW w:w="6120" w:type="dxa"/>
            <w:tcBorders>
              <w:top w:val="nil"/>
              <w:left w:val="nil"/>
              <w:bottom w:val="nil"/>
              <w:right w:val="nil"/>
            </w:tcBorders>
          </w:tcPr>
          <w:p w14:paraId="5F7F50AE" w14:textId="5FE2DF80" w:rsidR="009B33EB" w:rsidRPr="00724ED6" w:rsidRDefault="009B33EB" w:rsidP="00357461">
            <w:pPr>
              <w:spacing w:line="264" w:lineRule="auto"/>
              <w:jc w:val="right"/>
              <w:rPr>
                <w:b/>
                <w:bCs/>
              </w:rPr>
            </w:pPr>
            <w:r w:rsidRPr="00724ED6">
              <w:rPr>
                <w:b/>
                <w:bCs/>
              </w:rPr>
              <w:t xml:space="preserve">                 від</w:t>
            </w:r>
            <w:r w:rsidRPr="00724ED6">
              <w:t xml:space="preserve"> </w:t>
            </w:r>
            <w:r w:rsidRPr="00724ED6">
              <w:rPr>
                <w:b/>
              </w:rPr>
              <w:t>«</w:t>
            </w:r>
            <w:r w:rsidR="00357461">
              <w:rPr>
                <w:b/>
              </w:rPr>
              <w:t>23</w:t>
            </w:r>
            <w:r w:rsidRPr="00724ED6">
              <w:rPr>
                <w:b/>
              </w:rPr>
              <w:t xml:space="preserve">» </w:t>
            </w:r>
            <w:r w:rsidR="00357461">
              <w:rPr>
                <w:b/>
              </w:rPr>
              <w:t>лютого</w:t>
            </w:r>
            <w:r w:rsidRPr="00724ED6">
              <w:rPr>
                <w:b/>
              </w:rPr>
              <w:t xml:space="preserve">  202</w:t>
            </w:r>
            <w:r w:rsidR="00AC344B">
              <w:rPr>
                <w:b/>
              </w:rPr>
              <w:t>3</w:t>
            </w:r>
            <w:r w:rsidR="00724ED6">
              <w:rPr>
                <w:b/>
              </w:rPr>
              <w:t xml:space="preserve"> </w:t>
            </w:r>
            <w:r w:rsidRPr="00724ED6">
              <w:rPr>
                <w:b/>
              </w:rPr>
              <w:t>року</w:t>
            </w:r>
          </w:p>
        </w:tc>
      </w:tr>
    </w:tbl>
    <w:p w14:paraId="6B4C4C07" w14:textId="77777777" w:rsidR="009B33EB" w:rsidRPr="009B33EB" w:rsidRDefault="009B33EB" w:rsidP="009B33EB">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52CF9106"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r w:rsidR="009369C3">
              <w:rPr>
                <w:b/>
                <w:bCs/>
                <w:sz w:val="40"/>
                <w:szCs w:val="40"/>
              </w:rPr>
              <w:t xml:space="preserve"> </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4F8B3DBD" w14:textId="34068697" w:rsidR="00A67829" w:rsidRDefault="009B33EB" w:rsidP="004B25E6">
      <w:pPr>
        <w:spacing w:line="264" w:lineRule="auto"/>
        <w:jc w:val="center"/>
        <w:rPr>
          <w:b/>
          <w:sz w:val="28"/>
          <w:szCs w:val="28"/>
        </w:rPr>
      </w:pPr>
      <w:r w:rsidRPr="004B25E6">
        <w:rPr>
          <w:b/>
          <w:sz w:val="28"/>
          <w:szCs w:val="28"/>
        </w:rPr>
        <w:t xml:space="preserve">на закупівлю </w:t>
      </w:r>
      <w:r w:rsidR="009C128B">
        <w:rPr>
          <w:b/>
          <w:sz w:val="28"/>
          <w:szCs w:val="28"/>
        </w:rPr>
        <w:t>послуг</w:t>
      </w:r>
      <w:r w:rsidR="00E77A48">
        <w:rPr>
          <w:b/>
          <w:sz w:val="28"/>
          <w:szCs w:val="28"/>
        </w:rPr>
        <w:t>:</w:t>
      </w:r>
      <w:r w:rsidR="00A67829" w:rsidRPr="00A67829">
        <w:rPr>
          <w:b/>
          <w:sz w:val="28"/>
          <w:szCs w:val="28"/>
        </w:rPr>
        <w:t xml:space="preserve"> </w:t>
      </w:r>
    </w:p>
    <w:p w14:paraId="63F49A80" w14:textId="77777777" w:rsidR="00D032F2" w:rsidRDefault="00D032F2" w:rsidP="004B25E6">
      <w:pPr>
        <w:spacing w:line="264" w:lineRule="auto"/>
        <w:jc w:val="center"/>
        <w:rPr>
          <w:b/>
          <w:sz w:val="28"/>
          <w:szCs w:val="28"/>
        </w:rPr>
      </w:pPr>
    </w:p>
    <w:p w14:paraId="7D185260" w14:textId="77777777" w:rsidR="00357461" w:rsidRPr="00357461" w:rsidRDefault="00357461" w:rsidP="00357461">
      <w:pPr>
        <w:jc w:val="center"/>
        <w:rPr>
          <w:b/>
          <w:sz w:val="32"/>
          <w:szCs w:val="32"/>
        </w:rPr>
      </w:pPr>
      <w:r w:rsidRPr="00357461">
        <w:rPr>
          <w:b/>
          <w:sz w:val="32"/>
          <w:szCs w:val="32"/>
        </w:rPr>
        <w:t>Послуги з проведення гістологічних досліджень</w:t>
      </w:r>
    </w:p>
    <w:p w14:paraId="05E74F10" w14:textId="77777777" w:rsidR="009C128B" w:rsidRPr="00357461" w:rsidRDefault="009C128B" w:rsidP="00357461">
      <w:pPr>
        <w:spacing w:line="264" w:lineRule="auto"/>
        <w:jc w:val="center"/>
        <w:rPr>
          <w:b/>
          <w:sz w:val="32"/>
          <w:szCs w:val="32"/>
        </w:rPr>
      </w:pPr>
    </w:p>
    <w:p w14:paraId="15D0C59F" w14:textId="0389F605" w:rsidR="009C128B" w:rsidRPr="00357461" w:rsidRDefault="009C128B" w:rsidP="009C128B">
      <w:pPr>
        <w:spacing w:line="264" w:lineRule="auto"/>
        <w:jc w:val="center"/>
        <w:rPr>
          <w:sz w:val="28"/>
          <w:szCs w:val="28"/>
        </w:rPr>
      </w:pPr>
      <w:r>
        <w:rPr>
          <w:b/>
          <w:sz w:val="28"/>
          <w:szCs w:val="28"/>
        </w:rPr>
        <w:t xml:space="preserve"> </w:t>
      </w:r>
      <w:r w:rsidRPr="00357461">
        <w:rPr>
          <w:sz w:val="28"/>
          <w:szCs w:val="28"/>
        </w:rPr>
        <w:t xml:space="preserve">Код ДК 021:2015 – </w:t>
      </w:r>
      <w:r w:rsidR="00357461" w:rsidRPr="00357461">
        <w:rPr>
          <w:sz w:val="28"/>
          <w:szCs w:val="28"/>
        </w:rPr>
        <w:t>85110000-3 послуги лікувальних закладів та супутні послуги</w:t>
      </w:r>
    </w:p>
    <w:p w14:paraId="053A3012" w14:textId="77777777" w:rsidR="009C128B" w:rsidRPr="00E95707" w:rsidRDefault="009C128B" w:rsidP="009C128B">
      <w:pPr>
        <w:spacing w:line="264" w:lineRule="auto"/>
        <w:jc w:val="center"/>
        <w:rPr>
          <w:b/>
          <w:sz w:val="28"/>
          <w:szCs w:val="28"/>
        </w:rPr>
      </w:pPr>
    </w:p>
    <w:p w14:paraId="54567D75" w14:textId="77777777" w:rsidR="00281CE9" w:rsidRDefault="00281CE9" w:rsidP="002A6E82">
      <w:pPr>
        <w:spacing w:line="264" w:lineRule="auto"/>
        <w:jc w:val="center"/>
        <w:rPr>
          <w:b/>
          <w:sz w:val="28"/>
          <w:szCs w:val="28"/>
        </w:rPr>
      </w:pPr>
    </w:p>
    <w:p w14:paraId="532719CA" w14:textId="2808EC29" w:rsidR="009B33EB" w:rsidRPr="004B25E6" w:rsidRDefault="009B33EB" w:rsidP="002A6E8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0570E8DB" w14:textId="77777777" w:rsidR="000A2A4C" w:rsidRDefault="000A2A4C" w:rsidP="009B33EB">
      <w:pPr>
        <w:spacing w:line="264" w:lineRule="auto"/>
        <w:jc w:val="center"/>
        <w:rPr>
          <w:b/>
          <w:bCs/>
          <w:sz w:val="28"/>
          <w:szCs w:val="28"/>
          <w:lang w:eastAsia="uk-UA"/>
        </w:rPr>
      </w:pPr>
    </w:p>
    <w:p w14:paraId="0EA1043A" w14:textId="77777777" w:rsidR="009C128B" w:rsidRDefault="009C128B" w:rsidP="009B33EB">
      <w:pPr>
        <w:spacing w:line="264" w:lineRule="auto"/>
        <w:jc w:val="center"/>
        <w:rPr>
          <w:b/>
          <w:bCs/>
          <w:sz w:val="28"/>
          <w:szCs w:val="28"/>
          <w:lang w:eastAsia="uk-UA"/>
        </w:rPr>
      </w:pPr>
    </w:p>
    <w:p w14:paraId="637D04CB" w14:textId="209F4171"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w:t>
      </w:r>
      <w:r w:rsidR="00AC344B">
        <w:rPr>
          <w:b/>
          <w:bCs/>
          <w:sz w:val="28"/>
          <w:szCs w:val="28"/>
        </w:rPr>
        <w:t>3</w:t>
      </w:r>
    </w:p>
    <w:p w14:paraId="74D33459" w14:textId="5C358065" w:rsidR="004B25E6" w:rsidRDefault="004B25E6" w:rsidP="009B33EB">
      <w:pPr>
        <w:spacing w:line="264" w:lineRule="auto"/>
        <w:jc w:val="center"/>
        <w:rPr>
          <w:b/>
          <w:bCs/>
          <w:sz w:val="28"/>
          <w:szCs w:val="28"/>
        </w:rPr>
      </w:pPr>
    </w:p>
    <w:p w14:paraId="0B8B7C3C" w14:textId="0129BF99" w:rsidR="004B25E6" w:rsidRDefault="004B25E6" w:rsidP="009B33EB">
      <w:pPr>
        <w:spacing w:line="264" w:lineRule="auto"/>
        <w:jc w:val="center"/>
        <w:rPr>
          <w:b/>
          <w:bCs/>
          <w:sz w:val="28"/>
          <w:szCs w:val="28"/>
        </w:rPr>
      </w:pPr>
    </w:p>
    <w:p w14:paraId="39A81418" w14:textId="77777777" w:rsidR="004B25E6" w:rsidRDefault="004B25E6" w:rsidP="009B33EB">
      <w:pPr>
        <w:spacing w:line="264" w:lineRule="auto"/>
        <w:jc w:val="center"/>
        <w:rPr>
          <w:b/>
          <w:bCs/>
          <w:sz w:val="28"/>
          <w:szCs w:val="28"/>
        </w:rPr>
      </w:pPr>
    </w:p>
    <w:p w14:paraId="25FB9B1E" w14:textId="77777777" w:rsidR="00474876" w:rsidRDefault="00474876" w:rsidP="009B33EB">
      <w:pPr>
        <w:spacing w:line="264" w:lineRule="auto"/>
        <w:jc w:val="center"/>
        <w:rPr>
          <w:b/>
          <w:bCs/>
          <w:sz w:val="28"/>
          <w:szCs w:val="28"/>
        </w:rPr>
      </w:pPr>
    </w:p>
    <w:p w14:paraId="407A845F" w14:textId="77777777" w:rsidR="00474876" w:rsidRDefault="00474876" w:rsidP="009B33EB">
      <w:pPr>
        <w:spacing w:line="264" w:lineRule="auto"/>
        <w:jc w:val="center"/>
        <w:rPr>
          <w:b/>
          <w:bCs/>
          <w:sz w:val="28"/>
          <w:szCs w:val="28"/>
        </w:rPr>
      </w:pPr>
    </w:p>
    <w:p w14:paraId="37350C60" w14:textId="77777777" w:rsidR="00474876" w:rsidRDefault="00474876" w:rsidP="009B33EB">
      <w:pPr>
        <w:spacing w:line="264" w:lineRule="auto"/>
        <w:jc w:val="center"/>
        <w:rPr>
          <w:b/>
          <w:bCs/>
          <w:sz w:val="28"/>
          <w:szCs w:val="28"/>
        </w:rPr>
      </w:pPr>
    </w:p>
    <w:p w14:paraId="09288CE1" w14:textId="77777777" w:rsidR="00474876" w:rsidRDefault="00474876" w:rsidP="009B33EB">
      <w:pPr>
        <w:spacing w:line="264" w:lineRule="auto"/>
        <w:jc w:val="center"/>
        <w:rPr>
          <w:b/>
          <w:bCs/>
          <w:sz w:val="28"/>
          <w:szCs w:val="28"/>
        </w:rPr>
      </w:pPr>
    </w:p>
    <w:p w14:paraId="73B14A95" w14:textId="77777777" w:rsidR="00474876" w:rsidRDefault="00474876" w:rsidP="009B33EB">
      <w:pPr>
        <w:spacing w:line="264" w:lineRule="auto"/>
        <w:jc w:val="center"/>
        <w:rPr>
          <w:b/>
          <w:bCs/>
          <w:sz w:val="28"/>
          <w:szCs w:val="28"/>
        </w:rPr>
      </w:pPr>
    </w:p>
    <w:p w14:paraId="738734D4" w14:textId="77777777" w:rsidR="00474876" w:rsidRDefault="00474876" w:rsidP="009B33EB">
      <w:pPr>
        <w:spacing w:line="264" w:lineRule="auto"/>
        <w:jc w:val="center"/>
        <w:rPr>
          <w:b/>
          <w:bCs/>
          <w:sz w:val="28"/>
          <w:szCs w:val="28"/>
        </w:rPr>
      </w:pPr>
    </w:p>
    <w:p w14:paraId="2502AF37" w14:textId="77777777" w:rsidR="00474876" w:rsidRDefault="00474876" w:rsidP="009B33EB">
      <w:pPr>
        <w:spacing w:line="264" w:lineRule="auto"/>
        <w:jc w:val="center"/>
        <w:rPr>
          <w:b/>
          <w:bCs/>
          <w:sz w:val="28"/>
          <w:szCs w:val="28"/>
        </w:rPr>
      </w:pPr>
    </w:p>
    <w:p w14:paraId="730890BE" w14:textId="77777777" w:rsidR="00474876" w:rsidRDefault="00474876" w:rsidP="009B33EB">
      <w:pPr>
        <w:spacing w:line="264" w:lineRule="auto"/>
        <w:jc w:val="center"/>
        <w:rPr>
          <w:b/>
          <w:bCs/>
          <w:sz w:val="28"/>
          <w:szCs w:val="28"/>
        </w:rPr>
      </w:pPr>
    </w:p>
    <w:p w14:paraId="2AA5B8F8" w14:textId="77777777" w:rsidR="00474876" w:rsidRDefault="00474876" w:rsidP="009B33EB">
      <w:pPr>
        <w:spacing w:line="264" w:lineRule="auto"/>
        <w:jc w:val="center"/>
        <w:rPr>
          <w:b/>
          <w:bCs/>
          <w:sz w:val="28"/>
          <w:szCs w:val="28"/>
        </w:rPr>
      </w:pPr>
    </w:p>
    <w:p w14:paraId="32B5C3F5" w14:textId="77777777" w:rsidR="00474876" w:rsidRDefault="00474876" w:rsidP="009B33EB">
      <w:pPr>
        <w:spacing w:line="264" w:lineRule="auto"/>
        <w:jc w:val="center"/>
        <w:rPr>
          <w:b/>
          <w:bCs/>
          <w:sz w:val="28"/>
          <w:szCs w:val="28"/>
        </w:rPr>
      </w:pPr>
    </w:p>
    <w:p w14:paraId="022B5AE2" w14:textId="77777777" w:rsidR="00474876" w:rsidRDefault="00474876" w:rsidP="009B33EB">
      <w:pPr>
        <w:spacing w:line="264" w:lineRule="auto"/>
        <w:jc w:val="center"/>
        <w:rPr>
          <w:b/>
          <w:bCs/>
          <w:sz w:val="28"/>
          <w:szCs w:val="28"/>
        </w:rPr>
      </w:pPr>
      <w:bookmarkStart w:id="0" w:name="_GoBack"/>
      <w:bookmarkEnd w:id="0"/>
    </w:p>
    <w:p w14:paraId="2AC827C6" w14:textId="77777777" w:rsidR="00195C4A" w:rsidRDefault="00195C4A" w:rsidP="009B33EB">
      <w:pPr>
        <w:spacing w:line="264" w:lineRule="auto"/>
        <w:jc w:val="center"/>
        <w:rPr>
          <w:b/>
          <w:bCs/>
          <w:sz w:val="28"/>
          <w:szCs w:val="2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7ED590C6" w:rsidR="00E854C9" w:rsidRPr="00A05EBE" w:rsidRDefault="005060AA" w:rsidP="00A05EBE">
            <w:pPr>
              <w:rPr>
                <w:b/>
              </w:rPr>
            </w:pPr>
            <w:r w:rsidRPr="005060AA">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2CE84299" w:rsidR="00790F84" w:rsidRPr="00A23DE0" w:rsidRDefault="005060AA" w:rsidP="00FB5DAD">
            <w:pPr>
              <w:spacing w:line="276" w:lineRule="auto"/>
            </w:pPr>
            <w:r w:rsidRPr="005060AA">
              <w:t>29016, Україна, Хмельницька обл., місто Хмельницький, вул. Хотовицького,6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53F56EA9" w14:textId="77777777" w:rsidR="005060AA" w:rsidRPr="005060AA" w:rsidRDefault="005060AA" w:rsidP="005060AA">
            <w:pPr>
              <w:spacing w:line="276" w:lineRule="auto"/>
              <w:rPr>
                <w:bCs/>
                <w:lang w:val="ru-RU"/>
              </w:rPr>
            </w:pPr>
            <w:proofErr w:type="gramStart"/>
            <w:r w:rsidRPr="005060AA">
              <w:rPr>
                <w:bCs/>
                <w:lang w:val="ru-RU"/>
              </w:rPr>
              <w:t>З</w:t>
            </w:r>
            <w:proofErr w:type="gramEnd"/>
            <w:r w:rsidRPr="005060AA">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9A31EBE" w14:textId="77777777" w:rsidR="005060AA" w:rsidRPr="005060AA" w:rsidRDefault="005060AA" w:rsidP="005060AA">
            <w:pPr>
              <w:spacing w:line="276" w:lineRule="auto"/>
              <w:rPr>
                <w:bCs/>
                <w:lang w:val="ru-RU"/>
              </w:rPr>
            </w:pPr>
            <w:r w:rsidRPr="005060AA">
              <w:rPr>
                <w:bCs/>
                <w:lang w:val="ru-RU"/>
              </w:rPr>
              <w:t>Зоряна Вандоляк, фахівець з публічних закупівель, уповноважена особа</w:t>
            </w:r>
          </w:p>
          <w:p w14:paraId="51DF0E3A" w14:textId="77777777" w:rsidR="005060AA" w:rsidRPr="005060AA" w:rsidRDefault="005060AA" w:rsidP="005060AA">
            <w:pPr>
              <w:spacing w:line="276" w:lineRule="auto"/>
              <w:rPr>
                <w:bCs/>
                <w:lang w:val="ru-RU"/>
              </w:rPr>
            </w:pPr>
            <w:r w:rsidRPr="005060AA">
              <w:rPr>
                <w:bCs/>
                <w:lang w:val="ru-RU"/>
              </w:rPr>
              <w:t>Електронна пошта: Kmprce@ukr.net</w:t>
            </w:r>
          </w:p>
          <w:p w14:paraId="32A935A0" w14:textId="7531B18A" w:rsidR="00790F84" w:rsidRPr="006468F8" w:rsidRDefault="005060AA" w:rsidP="005060AA">
            <w:pPr>
              <w:spacing w:line="276" w:lineRule="auto"/>
              <w:rPr>
                <w:lang w:val="ru-RU"/>
              </w:rPr>
            </w:pPr>
            <w:r w:rsidRPr="005060AA">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3E7544AB" w14:textId="77777777" w:rsidR="004574D9" w:rsidRPr="004574D9" w:rsidRDefault="004574D9" w:rsidP="004574D9">
            <w:pPr>
              <w:spacing w:line="276" w:lineRule="auto"/>
              <w:jc w:val="both"/>
              <w:rPr>
                <w:rFonts w:eastAsia="Andale Sans UI"/>
                <w:kern w:val="1"/>
              </w:rPr>
            </w:pPr>
            <w:r w:rsidRPr="004574D9">
              <w:rPr>
                <w:rFonts w:eastAsia="Andale Sans UI"/>
                <w:kern w:val="1"/>
              </w:rPr>
              <w:t>Послуги з проведення гістологічних досліджень</w:t>
            </w:r>
          </w:p>
          <w:p w14:paraId="33D824BF" w14:textId="77777777" w:rsidR="004574D9" w:rsidRPr="004574D9" w:rsidRDefault="004574D9" w:rsidP="004574D9">
            <w:pPr>
              <w:spacing w:line="276" w:lineRule="auto"/>
              <w:jc w:val="both"/>
              <w:rPr>
                <w:rFonts w:eastAsia="Andale Sans UI"/>
                <w:kern w:val="1"/>
              </w:rPr>
            </w:pPr>
          </w:p>
          <w:p w14:paraId="68958575" w14:textId="060677F3" w:rsidR="00C254EC" w:rsidRPr="000B5AEF" w:rsidRDefault="004574D9" w:rsidP="004574D9">
            <w:pPr>
              <w:spacing w:line="276" w:lineRule="auto"/>
              <w:jc w:val="both"/>
              <w:rPr>
                <w:rFonts w:eastAsia="Andale Sans UI"/>
                <w:kern w:val="1"/>
              </w:rPr>
            </w:pPr>
            <w:r w:rsidRPr="004574D9">
              <w:rPr>
                <w:rFonts w:eastAsia="Andale Sans UI"/>
                <w:kern w:val="1"/>
              </w:rPr>
              <w:t xml:space="preserve"> Код ДК 021:2015 – 85110000-3 послуги лікувальних закладів та супутні послуги</w:t>
            </w:r>
            <w:r w:rsidR="009C128B" w:rsidRPr="009C128B">
              <w:rPr>
                <w:rFonts w:eastAsia="Andale Sans UI"/>
                <w:kern w:val="1"/>
              </w:rPr>
              <w:t xml:space="preserve">  </w:t>
            </w:r>
          </w:p>
        </w:tc>
      </w:tr>
      <w:tr w:rsidR="00790F84" w:rsidRPr="006B4622" w14:paraId="733542AF" w14:textId="77777777" w:rsidTr="00A132C4">
        <w:trPr>
          <w:trHeight w:val="522"/>
          <w:jc w:val="center"/>
        </w:trPr>
        <w:tc>
          <w:tcPr>
            <w:tcW w:w="751" w:type="dxa"/>
            <w:shd w:val="clear" w:color="auto" w:fill="auto"/>
          </w:tcPr>
          <w:p w14:paraId="351A9390" w14:textId="000834B5"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2E0605F6" w14:textId="12C1D184" w:rsidR="00CC5AC4" w:rsidRPr="008A0198" w:rsidRDefault="00CC5AC4" w:rsidP="008A0198">
            <w:pPr>
              <w:pStyle w:val="Standard"/>
              <w:jc w:val="both"/>
              <w:rPr>
                <w:color w:val="auto"/>
                <w:lang w:val="uk-UA"/>
              </w:rPr>
            </w:pPr>
            <w:r w:rsidRPr="002E46AC">
              <w:rPr>
                <w:color w:val="auto"/>
                <w:lang w:val="uk-UA"/>
              </w:rPr>
              <w:t xml:space="preserve">Кількість </w:t>
            </w:r>
            <w:r w:rsidR="009C128B">
              <w:rPr>
                <w:color w:val="auto"/>
                <w:lang w:val="uk-UA"/>
              </w:rPr>
              <w:t>послуг</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71484FBA" w:rsidR="00CC5AC4" w:rsidRDefault="00CC5AC4" w:rsidP="009B33EB">
            <w:r>
              <w:rPr>
                <w:lang w:val="ru-RU"/>
              </w:rPr>
              <w:t xml:space="preserve">Місце поставки: </w:t>
            </w:r>
            <w:r w:rsidR="005060AA">
              <w:t>29016</w:t>
            </w:r>
            <w:r w:rsidRPr="002E46AC">
              <w:t xml:space="preserve"> м</w:t>
            </w:r>
            <w:r>
              <w:t>істо</w:t>
            </w:r>
            <w:r w:rsidRPr="002E46AC">
              <w:t xml:space="preserve"> Хмельницький</w:t>
            </w:r>
            <w:r>
              <w:t>,</w:t>
            </w:r>
            <w:r w:rsidRPr="002E46AC">
              <w:t xml:space="preserve"> вул</w:t>
            </w:r>
            <w:r>
              <w:t>иця</w:t>
            </w:r>
            <w:r w:rsidRPr="002E46AC">
              <w:t xml:space="preserve"> </w:t>
            </w:r>
            <w:r w:rsidR="005060AA">
              <w:t>Хотовицького,6</w:t>
            </w:r>
          </w:p>
          <w:p w14:paraId="2CF2A857" w14:textId="77777777" w:rsidR="00E47F23" w:rsidRPr="0034758D" w:rsidRDefault="00E47F23" w:rsidP="00CC5AC4"/>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2D0B3515"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BE3E77">
              <w:rPr>
                <w:b/>
                <w:lang w:val="uk-UA"/>
              </w:rPr>
              <w:t>31</w:t>
            </w:r>
            <w:r>
              <w:rPr>
                <w:b/>
                <w:lang w:val="uk-UA"/>
              </w:rPr>
              <w:t>.12.202</w:t>
            </w:r>
            <w:r w:rsidR="00514F34">
              <w:rPr>
                <w:b/>
                <w:lang w:val="uk-UA"/>
              </w:rPr>
              <w:t>3</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7D2332">
              <w:rPr>
                <w:lang w:val="ru-RU"/>
              </w:rPr>
              <w:t>1</w:t>
            </w:r>
            <w:r>
              <w:rPr>
                <w:lang w:val="ru-RU"/>
              </w:rPr>
              <w:t>.5.1.</w:t>
            </w:r>
            <w:r w:rsidR="00D620D2" w:rsidRPr="00870B36">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D620D2" w:rsidRPr="00870B36">
              <w:t>р</w:t>
            </w:r>
            <w:proofErr w:type="gramEnd"/>
            <w:r w:rsidR="00D620D2" w:rsidRPr="00870B36">
              <w:t>івних умовах.</w:t>
            </w:r>
          </w:p>
          <w:p w14:paraId="31265C4E" w14:textId="2AEBEF1F" w:rsidR="00D620D2" w:rsidRPr="00870B36" w:rsidRDefault="007D2332" w:rsidP="00D620D2">
            <w:pPr>
              <w:ind w:left="38" w:right="34"/>
              <w:jc w:val="both"/>
            </w:pPr>
            <w:r>
              <w:t xml:space="preserve">1.5.2. </w:t>
            </w:r>
            <w:r w:rsidR="00D620D2" w:rsidRPr="00870B36">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w:t>
            </w:r>
            <w:r w:rsidR="00D620D2" w:rsidRPr="00870B36">
              <w:lastRenderedPageBreak/>
              <w:t>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5782368C"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1"/>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 xml:space="preserve">1.6.3. При розкритті тендерних пропозицій ціна такої тендерної пропозиції перераховується у гривні за офіційним курсом гривні </w:t>
            </w:r>
            <w:r w:rsidRPr="00912256">
              <w:lastRenderedPageBreak/>
              <w:t>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w:t>
            </w:r>
            <w:r w:rsidRPr="00AE4089">
              <w:rPr>
                <w:rFonts w:ascii="Times New Roman" w:hAnsi="Times New Roman"/>
                <w:sz w:val="24"/>
                <w:lang w:eastAsia="ru-RU"/>
              </w:rPr>
              <w:lastRenderedPageBreak/>
              <w:t>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6A033C" w:rsidRPr="006A033C">
              <w:rPr>
                <w:rFonts w:ascii="Times New Roman" w:hAnsi="Times New Roman"/>
                <w:sz w:val="24"/>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w:t>
            </w:r>
            <w:r w:rsidR="005616F8" w:rsidRPr="00322954">
              <w:rPr>
                <w:rFonts w:ascii="Times New Roman" w:hAnsi="Times New Roman" w:cs="Times New Roman"/>
                <w:sz w:val="24"/>
                <w:szCs w:val="24"/>
                <w:lang w:val="uk-UA"/>
              </w:rPr>
              <w:lastRenderedPageBreak/>
              <w:t>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w:t>
            </w:r>
            <w:r w:rsidR="00277370">
              <w:rPr>
                <w:color w:val="000000"/>
              </w:rPr>
              <w:lastRenderedPageBreak/>
              <w:t>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 xml:space="preserve">і у своїй тендерній пропозиції, при цьому замовником не вимагається </w:t>
            </w:r>
            <w:r>
              <w:rPr>
                <w:color w:val="000000"/>
              </w:rPr>
              <w:lastRenderedPageBreak/>
              <w:t>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 xml:space="preserve">і має </w:t>
            </w:r>
            <w:r w:rsidR="00465466">
              <w:rPr>
                <w:color w:val="000000"/>
              </w:rPr>
              <w:lastRenderedPageBreak/>
              <w:t>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5A2524E7"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Pr>
                <w:color w:val="000000"/>
                <w:shd w:val="solid" w:color="FFFFFF" w:fill="FFFFFF"/>
                <w:lang w:val="ru-RU" w:eastAsia="en-US"/>
              </w:rPr>
              <w:t>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7A0D0E">
              <w:rPr>
                <w:color w:val="000000"/>
                <w:shd w:val="solid" w:color="FFFFFF" w:fill="FFFFFF"/>
              </w:rPr>
              <w:lastRenderedPageBreak/>
              <w:t>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w:t>
            </w:r>
            <w:r w:rsidRPr="007A0D0E">
              <w:rPr>
                <w:color w:val="000000"/>
                <w:shd w:val="solid" w:color="FFFFFF" w:fill="FFFFFF"/>
              </w:rPr>
              <w:lastRenderedPageBreak/>
              <w:t xml:space="preserve">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5F8EA7FD"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ECF8B71" w:rsidR="00134FD3" w:rsidRPr="00134FD3" w:rsidRDefault="00C1788B" w:rsidP="00134FD3">
            <w:pPr>
              <w:spacing w:before="120"/>
              <w:jc w:val="both"/>
              <w:rPr>
                <w:color w:val="000000"/>
                <w:shd w:val="solid" w:color="FFFFFF" w:fill="FFFFFF"/>
              </w:rPr>
            </w:pPr>
            <w:r>
              <w:rPr>
                <w:color w:val="000000"/>
                <w:shd w:val="solid" w:color="FFFFFF" w:fill="FFFFFF"/>
              </w:rPr>
              <w:t>3.5.9.</w:t>
            </w:r>
            <w:r w:rsidR="00134FD3" w:rsidRPr="00134FD3">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w:t>
            </w:r>
            <w:r w:rsidRPr="00134FD3">
              <w:rPr>
                <w:color w:val="000000"/>
                <w:shd w:val="solid" w:color="FFFFFF" w:fill="FFFFFF"/>
              </w:rPr>
              <w:lastRenderedPageBreak/>
              <w:t>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 xml:space="preserve">3.5.12. Учасник нерезидент повинен надати зазначені документи з урахуванням особливостей законодавства його країни </w:t>
            </w:r>
            <w:r w:rsidRPr="00134FD3">
              <w:rPr>
                <w:color w:val="000000"/>
                <w:shd w:val="solid" w:color="FFFFFF" w:fill="FFFFFF"/>
              </w:rPr>
              <w:lastRenderedPageBreak/>
              <w:t>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2" w:name="n1434"/>
            <w:bookmarkEnd w:id="2"/>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3" w:name="_Hlk115298070"/>
            <w:r w:rsidRPr="00870B36">
              <w:t>6</w:t>
            </w:r>
            <w:r w:rsidRPr="00870B36">
              <w:rPr>
                <w:vertAlign w:val="superscript"/>
              </w:rPr>
              <w:t>1</w:t>
            </w:r>
            <w:bookmarkEnd w:id="3"/>
            <w:r w:rsidRPr="00870B36">
              <w:t xml:space="preserve"> </w:t>
            </w:r>
            <w:bookmarkStart w:id="4" w:name="_Hlk115298057"/>
            <w:r w:rsidRPr="00870B36">
              <w:t>Розділу X «ПРИКІНЦЕВІ ТА ПЕРЕХІДНІ ПОЛОЖЕННЯ» Закону України «Про публічні закупівлі»</w:t>
            </w:r>
            <w:bookmarkEnd w:id="4"/>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5" w:name="_Hlk115298744"/>
            <w:r w:rsidRPr="00870B36">
              <w:t xml:space="preserve">частини третьої статті 7 Закону України «Про енергетичну ефективність» </w:t>
            </w:r>
            <w:bookmarkEnd w:id="5"/>
            <w:r w:rsidRPr="00870B36">
              <w:t xml:space="preserve">Замовник вказує, що </w:t>
            </w:r>
            <w:r w:rsidRPr="00870B36">
              <w:rPr>
                <w:shd w:val="clear" w:color="auto" w:fill="FFFFFF"/>
              </w:rPr>
              <w:t xml:space="preserve">у випадку закупівлі </w:t>
            </w:r>
            <w:bookmarkStart w:id="6" w:name="_Hlk115298718"/>
            <w:r w:rsidRPr="00870B36">
              <w:rPr>
                <w:shd w:val="clear" w:color="auto" w:fill="FFFFFF"/>
              </w:rPr>
              <w:t>енергоспоживчої продукції (товарів)</w:t>
            </w:r>
            <w:bookmarkEnd w:id="6"/>
            <w:r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w:t>
            </w:r>
            <w:r w:rsidRPr="00870B36">
              <w:rPr>
                <w:shd w:val="clear" w:color="auto" w:fill="FFFFFF"/>
              </w:rPr>
              <w:lastRenderedPageBreak/>
              <w:t>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27AE1C5D" w:rsidR="0086338D" w:rsidRDefault="004574D9" w:rsidP="0086338D">
            <w:pPr>
              <w:pStyle w:val="aa"/>
              <w:spacing w:before="150" w:beforeAutospacing="0" w:after="150" w:afterAutospacing="0" w:line="0" w:lineRule="atLeast"/>
              <w:jc w:val="both"/>
            </w:pPr>
            <w:r w:rsidRPr="004574D9">
              <w:t xml:space="preserve">У разі закупівлі робіт\послуг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робіт\послуг у обсязі не менше ніж 20 відсотків </w:t>
            </w:r>
            <w:proofErr w:type="gramStart"/>
            <w:r w:rsidRPr="004574D9">
              <w:t>в</w:t>
            </w:r>
            <w:proofErr w:type="gramEnd"/>
            <w:r w:rsidRPr="004574D9">
              <w:t>ід вартості договору про закупівлю</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 xml:space="preserve">Кінцевий строк подання тендерної </w:t>
            </w:r>
            <w:r w:rsidRPr="00860830">
              <w:rPr>
                <w:rStyle w:val="rvts0"/>
                <w:rFonts w:ascii="Times New Roman" w:hAnsi="Times New Roman"/>
                <w:b/>
                <w:sz w:val="24"/>
                <w:szCs w:val="24"/>
              </w:rPr>
              <w:lastRenderedPageBreak/>
              <w:t>пропозиції</w:t>
            </w:r>
          </w:p>
        </w:tc>
        <w:tc>
          <w:tcPr>
            <w:tcW w:w="7492" w:type="dxa"/>
            <w:shd w:val="clear" w:color="auto" w:fill="auto"/>
          </w:tcPr>
          <w:p w14:paraId="537CCA11" w14:textId="271D1246" w:rsidR="0086338D" w:rsidRPr="006468F8" w:rsidRDefault="0086338D" w:rsidP="0086338D">
            <w:pPr>
              <w:widowControl w:val="0"/>
              <w:ind w:left="34" w:right="113"/>
              <w:contextualSpacing/>
              <w:jc w:val="both"/>
              <w:rPr>
                <w:b/>
                <w:lang w:val="ru-RU"/>
              </w:rPr>
            </w:pPr>
            <w:bookmarkStart w:id="7" w:name="_Toc269286953"/>
            <w:r w:rsidRPr="002217ED">
              <w:rPr>
                <w:rStyle w:val="20"/>
                <w:b/>
                <w:color w:val="auto"/>
              </w:rPr>
              <w:lastRenderedPageBreak/>
              <w:t>Кінцевий строк подання</w:t>
            </w:r>
            <w:r w:rsidR="00E77A48">
              <w:rPr>
                <w:rStyle w:val="20"/>
                <w:b/>
                <w:color w:val="auto"/>
              </w:rPr>
              <w:t>:</w:t>
            </w:r>
            <w:r w:rsidRPr="002217ED">
              <w:rPr>
                <w:rStyle w:val="20"/>
                <w:b/>
                <w:color w:val="auto"/>
              </w:rPr>
              <w:t xml:space="preserve"> </w:t>
            </w:r>
            <w:bookmarkEnd w:id="7"/>
            <w:r w:rsidR="00E90021" w:rsidRPr="002217ED">
              <w:t>тендерних про</w:t>
            </w:r>
            <w:r w:rsidR="002217ED" w:rsidRPr="002217ED">
              <w:t xml:space="preserve">позицій </w:t>
            </w:r>
            <w:r w:rsidR="00E90021" w:rsidRPr="006468F8">
              <w:rPr>
                <w:b/>
                <w:lang w:val="ru-RU"/>
              </w:rPr>
              <w:t>«</w:t>
            </w:r>
            <w:r w:rsidR="004574D9">
              <w:rPr>
                <w:b/>
                <w:lang w:val="ru-RU"/>
              </w:rPr>
              <w:t>03</w:t>
            </w:r>
            <w:r w:rsidRPr="006468F8">
              <w:rPr>
                <w:b/>
                <w:lang w:val="ru-RU"/>
              </w:rPr>
              <w:t xml:space="preserve">» </w:t>
            </w:r>
            <w:r w:rsidR="004574D9">
              <w:rPr>
                <w:b/>
                <w:lang w:val="ru-RU"/>
              </w:rPr>
              <w:t xml:space="preserve">березня </w:t>
            </w:r>
            <w:r w:rsidRPr="006468F8">
              <w:rPr>
                <w:b/>
              </w:rPr>
              <w:t>202</w:t>
            </w:r>
            <w:r w:rsidR="00AC344B">
              <w:rPr>
                <w:b/>
              </w:rPr>
              <w:t>3</w:t>
            </w:r>
            <w:r w:rsidR="00E77A48" w:rsidRPr="006468F8">
              <w:rPr>
                <w:b/>
              </w:rPr>
              <w:t xml:space="preserve"> </w:t>
            </w:r>
            <w:r w:rsidRPr="006468F8">
              <w:rPr>
                <w:b/>
                <w:lang w:val="ru-RU"/>
              </w:rPr>
              <w:t>р</w:t>
            </w:r>
            <w:r w:rsidR="00E77A48" w:rsidRPr="006468F8">
              <w:rPr>
                <w:b/>
                <w:lang w:val="ru-RU"/>
              </w:rPr>
              <w:t>оку о 1</w:t>
            </w:r>
            <w:r w:rsidR="00A5469D" w:rsidRPr="006468F8">
              <w:rPr>
                <w:b/>
                <w:lang w:val="ru-RU"/>
              </w:rPr>
              <w:t>2</w:t>
            </w:r>
            <w:r w:rsidR="00E77A48" w:rsidRPr="006468F8">
              <w:rPr>
                <w:b/>
                <w:lang w:val="ru-RU"/>
              </w:rPr>
              <w:t>:00 год.</w:t>
            </w:r>
          </w:p>
          <w:p w14:paraId="7560DC9E" w14:textId="77777777" w:rsidR="0086338D" w:rsidRDefault="0086338D" w:rsidP="0086338D">
            <w:pPr>
              <w:pStyle w:val="aa"/>
              <w:spacing w:before="150" w:beforeAutospacing="0" w:after="150" w:afterAutospacing="0"/>
              <w:jc w:val="both"/>
            </w:pPr>
            <w:r>
              <w:rPr>
                <w:color w:val="000000"/>
              </w:rPr>
              <w:lastRenderedPageBreak/>
              <w:t xml:space="preserve">Тендерні пропозиції </w:t>
            </w:r>
            <w:proofErr w:type="gramStart"/>
            <w:r>
              <w:rPr>
                <w:color w:val="000000"/>
              </w:rPr>
              <w:t>п</w:t>
            </w:r>
            <w:proofErr w:type="gramEnd"/>
            <w:r>
              <w:rPr>
                <w:color w:val="000000"/>
              </w:rPr>
              <w:t>ісля закінчення кінцевого строку їх 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68D6D67E" w14:textId="4079E8CD" w:rsidR="0086338D" w:rsidRPr="006B4622" w:rsidRDefault="0086338D" w:rsidP="0080459B">
            <w:pPr>
              <w:widowControl w:val="0"/>
              <w:spacing w:after="60"/>
              <w:ind w:right="113"/>
              <w:contextualSpacing/>
              <w:jc w:val="both"/>
            </w:pP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2DC65A21" w14:textId="73E6A74C" w:rsidR="001143AA" w:rsidRDefault="0086338D" w:rsidP="00DA0346">
            <w:pPr>
              <w:pStyle w:val="aa"/>
              <w:spacing w:before="0" w:after="0"/>
              <w:ind w:left="60" w:right="126"/>
              <w:jc w:val="both"/>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DA0346">
              <w:rPr>
                <w:shd w:val="clear" w:color="auto" w:fill="FFFFFF"/>
                <w:lang w:val="uk-UA"/>
              </w:rPr>
              <w:t>.</w:t>
            </w: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w:t>
            </w:r>
            <w:r w:rsidRPr="00383981">
              <w:lastRenderedPageBreak/>
              <w:t>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383981">
              <w:rPr>
                <w:color w:val="000000"/>
                <w:shd w:val="solid" w:color="FFFFFF" w:fill="FFFFFF"/>
                <w:lang w:eastAsia="en-US"/>
              </w:rPr>
              <w:lastRenderedPageBreak/>
              <w:t>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w:t>
            </w:r>
            <w:proofErr w:type="gramStart"/>
            <w:r>
              <w:rPr>
                <w:color w:val="000000"/>
              </w:rPr>
              <w:t xml:space="preserve"> Р</w:t>
            </w:r>
            <w:proofErr w:type="gramEnd"/>
            <w:r>
              <w:rPr>
                <w:color w:val="000000"/>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Pr>
                <w:color w:val="000000"/>
              </w:rPr>
              <w:lastRenderedPageBreak/>
              <w:t xml:space="preserve">Федерації/Республіки Білорусь, або фізичною особою (фізичною особою – </w:t>
            </w:r>
            <w:proofErr w:type="gramStart"/>
            <w:r>
              <w:rPr>
                <w:color w:val="000000"/>
              </w:rPr>
              <w:t>п</w:t>
            </w:r>
            <w:proofErr w:type="gramEnd"/>
            <w:r>
              <w:rPr>
                <w:color w:val="000000"/>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w:t>
            </w:r>
            <w:r>
              <w:rPr>
                <w:color w:val="000000"/>
              </w:rPr>
              <w:lastRenderedPageBreak/>
              <w:t xml:space="preserve">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lastRenderedPageBreak/>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1F1A15FD" w:rsidR="0086338D" w:rsidRPr="0064431F" w:rsidRDefault="0086338D" w:rsidP="0086338D">
            <w:pPr>
              <w:pStyle w:val="aa"/>
              <w:spacing w:before="150" w:beforeAutospacing="0" w:after="150" w:afterAutospacing="0"/>
              <w:jc w:val="both"/>
              <w:rPr>
                <w:lang w:val="uk-UA"/>
              </w:rPr>
            </w:pPr>
            <w:r w:rsidRPr="0064431F">
              <w:rPr>
                <w:color w:val="000000"/>
                <w:lang w:val="uk-UA"/>
              </w:rPr>
              <w:lastRenderedPageBreak/>
              <w:t>Умови договору про закупівлю не повинні відрізнятися від змісту тендерної пропозиції переможця процедури закупівлі, крім випадків:</w:t>
            </w:r>
            <w:r w:rsidRPr="00DE5DC4">
              <w:rPr>
                <w:color w:val="000000"/>
              </w:rPr>
              <w:t>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 xml:space="preserve">визначення </w:t>
            </w:r>
            <w:proofErr w:type="gramStart"/>
            <w:r w:rsidRPr="00DE5DC4">
              <w:rPr>
                <w:color w:val="000000"/>
              </w:rPr>
              <w:t>грошового</w:t>
            </w:r>
            <w:proofErr w:type="gramEnd"/>
            <w:r w:rsidRPr="00DE5DC4">
              <w:rPr>
                <w:color w:val="000000"/>
              </w:rPr>
              <w:t xml:space="preserve"> еквівалента зобов’язання в іноземній валюті; </w:t>
            </w:r>
          </w:p>
          <w:p w14:paraId="1A06267A" w14:textId="720DC3A5"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 xml:space="preserve">перерахунку ціни за результатами </w:t>
            </w:r>
            <w:r w:rsidR="0064431F">
              <w:rPr>
                <w:color w:val="000000"/>
                <w:lang w:val="uk-UA"/>
              </w:rPr>
              <w:t>процедури закупі</w:t>
            </w:r>
            <w:proofErr w:type="gramStart"/>
            <w:r w:rsidR="0064431F">
              <w:rPr>
                <w:color w:val="000000"/>
                <w:lang w:val="uk-UA"/>
              </w:rPr>
              <w:t>вл</w:t>
            </w:r>
            <w:proofErr w:type="gramEnd"/>
            <w:r w:rsidR="0064431F">
              <w:rPr>
                <w:color w:val="000000"/>
                <w:lang w:val="uk-UA"/>
              </w:rPr>
              <w:t>і</w:t>
            </w:r>
            <w:r w:rsidRPr="00DE5DC4">
              <w:rPr>
                <w:color w:val="000000"/>
              </w:rPr>
              <w:t xml:space="preserve"> в бік зменшення ціни тендерної пропозиції учасника без зменшення обсягів закупівлі;</w:t>
            </w:r>
          </w:p>
          <w:p w14:paraId="78FEE4EB" w14:textId="44C62326" w:rsidR="0086338D" w:rsidRPr="00DE5DC4" w:rsidRDefault="0086338D" w:rsidP="0086338D">
            <w:pPr>
              <w:pStyle w:val="aa"/>
              <w:numPr>
                <w:ilvl w:val="0"/>
                <w:numId w:val="21"/>
              </w:numPr>
              <w:spacing w:before="0" w:beforeAutospacing="0" w:after="150" w:afterAutospacing="0"/>
              <w:jc w:val="both"/>
              <w:textAlignment w:val="baseline"/>
              <w:rPr>
                <w:color w:val="000000"/>
              </w:rPr>
            </w:pPr>
            <w:r w:rsidRPr="00DE5DC4">
              <w:rPr>
                <w:color w:val="000000"/>
              </w:rPr>
              <w:t xml:space="preserve">перерахунку ціни та обсягів товарів за результатами </w:t>
            </w:r>
            <w:r w:rsidR="0064431F">
              <w:rPr>
                <w:color w:val="000000"/>
                <w:lang w:val="uk-UA"/>
              </w:rPr>
              <w:t>процедури закупі</w:t>
            </w:r>
            <w:proofErr w:type="gramStart"/>
            <w:r w:rsidR="0064431F">
              <w:rPr>
                <w:color w:val="000000"/>
                <w:lang w:val="uk-UA"/>
              </w:rPr>
              <w:t>вл</w:t>
            </w:r>
            <w:proofErr w:type="gramEnd"/>
            <w:r w:rsidR="0064431F">
              <w:rPr>
                <w:color w:val="000000"/>
                <w:lang w:val="uk-UA"/>
              </w:rPr>
              <w:t>і</w:t>
            </w:r>
            <w:r w:rsidRPr="00DE5DC4">
              <w:rPr>
                <w:color w:val="000000"/>
              </w:rPr>
              <w:t xml:space="preserve"> в бік зменшення за умови необхідності приведення обсягів товарів до кратності упаковки.</w:t>
            </w:r>
          </w:p>
          <w:p w14:paraId="65A0F9F7" w14:textId="77777777" w:rsidR="0086338D" w:rsidRPr="00DE5DC4" w:rsidRDefault="0086338D" w:rsidP="0086338D">
            <w:pPr>
              <w:pStyle w:val="aa"/>
              <w:spacing w:before="150" w:beforeAutospacing="0" w:after="150" w:afterAutospacing="0"/>
              <w:jc w:val="both"/>
            </w:pPr>
            <w:r w:rsidRPr="00DE5DC4">
              <w:rPr>
                <w:color w:val="000000"/>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DE5DC4">
              <w:rPr>
                <w:color w:val="000000"/>
              </w:rPr>
              <w:t>п</w:t>
            </w:r>
            <w:proofErr w:type="gramEnd"/>
            <w:r w:rsidRPr="00DE5DC4">
              <w:rPr>
                <w:color w:val="000000"/>
              </w:rPr>
              <w:t>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w:t>
            </w:r>
            <w:proofErr w:type="gramStart"/>
            <w:r w:rsidRPr="00DE5DC4">
              <w:rPr>
                <w:color w:val="000000"/>
              </w:rPr>
              <w:t>вл</w:t>
            </w:r>
            <w:proofErr w:type="gramEnd"/>
            <w:r w:rsidRPr="00DE5DC4">
              <w:rPr>
                <w:color w:val="000000"/>
              </w:rPr>
              <w:t>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 xml:space="preserve">Істотні умови договору про закупівлю не можуть змінюватися </w:t>
            </w:r>
            <w:proofErr w:type="gramStart"/>
            <w:r w:rsidRPr="00623912">
              <w:rPr>
                <w:color w:val="000000"/>
              </w:rPr>
              <w:t>п</w:t>
            </w:r>
            <w:proofErr w:type="gramEnd"/>
            <w:r w:rsidRPr="00623912">
              <w:rPr>
                <w:color w:val="000000"/>
              </w:rPr>
              <w:t>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623912">
              <w:rPr>
                <w:color w:val="000000"/>
                <w:lang w:eastAsia="en-US"/>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E132A" w14:textId="77777777" w:rsidR="00F20125" w:rsidRDefault="00F20125" w:rsidP="00207BBB">
      <w:pPr>
        <w:pStyle w:val="CharChar"/>
      </w:pPr>
      <w:r>
        <w:separator/>
      </w:r>
    </w:p>
  </w:endnote>
  <w:endnote w:type="continuationSeparator" w:id="0">
    <w:p w14:paraId="7AB87271" w14:textId="77777777" w:rsidR="00F20125" w:rsidRDefault="00F20125"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474876">
      <w:rPr>
        <w:rStyle w:val="a3"/>
        <w:noProof/>
      </w:rPr>
      <w:t>1</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5C4C9" w14:textId="77777777" w:rsidR="00F20125" w:rsidRDefault="00F20125" w:rsidP="00207BBB">
      <w:pPr>
        <w:pStyle w:val="CharChar"/>
      </w:pPr>
      <w:r>
        <w:separator/>
      </w:r>
    </w:p>
  </w:footnote>
  <w:footnote w:type="continuationSeparator" w:id="0">
    <w:p w14:paraId="3FDFFFB6" w14:textId="77777777" w:rsidR="00F20125" w:rsidRDefault="00F20125"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52B"/>
    <w:rsid w:val="00074B74"/>
    <w:rsid w:val="00074DBB"/>
    <w:rsid w:val="000753D4"/>
    <w:rsid w:val="00082628"/>
    <w:rsid w:val="000828C1"/>
    <w:rsid w:val="00082EC5"/>
    <w:rsid w:val="000842B7"/>
    <w:rsid w:val="000858A3"/>
    <w:rsid w:val="00086158"/>
    <w:rsid w:val="00086245"/>
    <w:rsid w:val="00086C7C"/>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5AEF"/>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CB"/>
    <w:rsid w:val="0017556A"/>
    <w:rsid w:val="00175D30"/>
    <w:rsid w:val="00176924"/>
    <w:rsid w:val="00176B85"/>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57461"/>
    <w:rsid w:val="003604FE"/>
    <w:rsid w:val="00362B00"/>
    <w:rsid w:val="00362EFE"/>
    <w:rsid w:val="003633D7"/>
    <w:rsid w:val="003660B8"/>
    <w:rsid w:val="00366BCC"/>
    <w:rsid w:val="00367493"/>
    <w:rsid w:val="003704F9"/>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4D9"/>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4876"/>
    <w:rsid w:val="00477F66"/>
    <w:rsid w:val="0048177E"/>
    <w:rsid w:val="004840B1"/>
    <w:rsid w:val="00484B9B"/>
    <w:rsid w:val="00485CF5"/>
    <w:rsid w:val="00490991"/>
    <w:rsid w:val="004915BE"/>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4C32"/>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3621"/>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3BAC"/>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3B7A"/>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CBC"/>
    <w:rsid w:val="009720DF"/>
    <w:rsid w:val="00972A8D"/>
    <w:rsid w:val="00972C0D"/>
    <w:rsid w:val="00972F97"/>
    <w:rsid w:val="00973569"/>
    <w:rsid w:val="00973A4B"/>
    <w:rsid w:val="00975CA5"/>
    <w:rsid w:val="00976803"/>
    <w:rsid w:val="0097735D"/>
    <w:rsid w:val="00977655"/>
    <w:rsid w:val="0097765D"/>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128B"/>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344B"/>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88B"/>
    <w:rsid w:val="00C17C3D"/>
    <w:rsid w:val="00C213BF"/>
    <w:rsid w:val="00C220CD"/>
    <w:rsid w:val="00C2388E"/>
    <w:rsid w:val="00C24CAB"/>
    <w:rsid w:val="00C254EC"/>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2F2"/>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5B9"/>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2C3F"/>
    <w:rsid w:val="00D731FD"/>
    <w:rsid w:val="00D749A0"/>
    <w:rsid w:val="00D75252"/>
    <w:rsid w:val="00D75282"/>
    <w:rsid w:val="00D81484"/>
    <w:rsid w:val="00D81CCF"/>
    <w:rsid w:val="00D83A7A"/>
    <w:rsid w:val="00D8484B"/>
    <w:rsid w:val="00D854AF"/>
    <w:rsid w:val="00D869F5"/>
    <w:rsid w:val="00D86BD4"/>
    <w:rsid w:val="00D873C2"/>
    <w:rsid w:val="00D8754B"/>
    <w:rsid w:val="00D90ED5"/>
    <w:rsid w:val="00D91D0A"/>
    <w:rsid w:val="00D926C5"/>
    <w:rsid w:val="00D92FD9"/>
    <w:rsid w:val="00D930A5"/>
    <w:rsid w:val="00D93789"/>
    <w:rsid w:val="00D937CA"/>
    <w:rsid w:val="00D94074"/>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5D2"/>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0125"/>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5DAD"/>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4F84"/>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6B99-049F-46F0-A3FA-CFB94051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23</Pages>
  <Words>36974</Words>
  <Characters>21076</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160</cp:revision>
  <cp:lastPrinted>2021-04-19T11:44:00Z</cp:lastPrinted>
  <dcterms:created xsi:type="dcterms:W3CDTF">2022-10-20T10:48:00Z</dcterms:created>
  <dcterms:modified xsi:type="dcterms:W3CDTF">2023-02-23T13:30:00Z</dcterms:modified>
</cp:coreProperties>
</file>