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4423" w14:textId="6A0B1F4D" w:rsidR="00AE5B1D" w:rsidRPr="00BA16E3" w:rsidRDefault="00BA16E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lang w:val="ru-RU"/>
        </w:rPr>
        <w:t>С</w:t>
      </w:r>
      <w:r>
        <w:rPr>
          <w:rFonts w:ascii="Times New Roman" w:eastAsia="Calibri" w:hAnsi="Times New Roman" w:cs="Times New Roman"/>
          <w:b/>
          <w:sz w:val="28"/>
          <w:szCs w:val="28"/>
        </w:rPr>
        <w:t>тепівський дитячий будинок - інтернат</w:t>
      </w:r>
    </w:p>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4C7CC7A"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t>ЗАТВЕРДЖЕНО</w:t>
      </w:r>
    </w:p>
    <w:p w14:paraId="25BC4320" w14:textId="2708B88A" w:rsidR="00E11A8D" w:rsidRDefault="00AE5B1D" w:rsidP="00E11A8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Рішенням уповноваженої особи </w:t>
      </w:r>
    </w:p>
    <w:p w14:paraId="49C7F6EB" w14:textId="03CC6E3A" w:rsidR="00E11A8D" w:rsidRPr="00E11A8D" w:rsidRDefault="00E11A8D" w:rsidP="00E11A8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w:t>
      </w:r>
    </w:p>
    <w:p w14:paraId="0C244C61" w14:textId="686221B8" w:rsidR="00E610EE" w:rsidRPr="00AE5B1D" w:rsidRDefault="00E610EE" w:rsidP="00E610EE">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lang w:val="ru-RU"/>
        </w:rPr>
      </w:pPr>
      <w:r w:rsidRPr="00AE5B1D">
        <w:rPr>
          <w:rFonts w:ascii="Times New Roman" w:eastAsia="Calibri" w:hAnsi="Times New Roman" w:cs="Times New Roman"/>
          <w:sz w:val="24"/>
          <w:szCs w:val="24"/>
          <w:u w:val="single"/>
        </w:rPr>
        <w:t xml:space="preserve">Протокол від  </w:t>
      </w:r>
      <w:r w:rsidRPr="00142ED9">
        <w:rPr>
          <w:rFonts w:ascii="Times New Roman" w:eastAsia="Calibri" w:hAnsi="Times New Roman" w:cs="Times New Roman"/>
          <w:sz w:val="24"/>
          <w:szCs w:val="24"/>
          <w:u w:val="single"/>
        </w:rPr>
        <w:t>«</w:t>
      </w:r>
      <w:r w:rsidR="005318AD">
        <w:rPr>
          <w:rFonts w:ascii="Times New Roman" w:eastAsia="Calibri" w:hAnsi="Times New Roman" w:cs="Times New Roman"/>
          <w:sz w:val="24"/>
          <w:szCs w:val="24"/>
          <w:u w:val="single"/>
          <w:lang w:val="ru-RU"/>
        </w:rPr>
        <w:t>01.12.2023 р.</w:t>
      </w:r>
      <w:r w:rsidRPr="00142ED9">
        <w:rPr>
          <w:rFonts w:ascii="Times New Roman" w:eastAsia="Calibri" w:hAnsi="Times New Roman" w:cs="Times New Roman"/>
          <w:sz w:val="24"/>
          <w:szCs w:val="24"/>
          <w:u w:val="single"/>
        </w:rPr>
        <w:t>»  №</w:t>
      </w:r>
      <w:r w:rsidR="005318AD">
        <w:rPr>
          <w:rFonts w:ascii="Times New Roman" w:eastAsia="Calibri" w:hAnsi="Times New Roman" w:cs="Times New Roman"/>
          <w:sz w:val="24"/>
          <w:szCs w:val="24"/>
          <w:u w:val="single"/>
          <w:lang w:val="ru-RU"/>
        </w:rPr>
        <w:t>108</w:t>
      </w:r>
      <w:r w:rsidR="00E11A8D">
        <w:rPr>
          <w:rFonts w:ascii="Times New Roman" w:eastAsia="Calibri" w:hAnsi="Times New Roman" w:cs="Times New Roman"/>
          <w:sz w:val="24"/>
          <w:szCs w:val="24"/>
          <w:u w:val="single"/>
        </w:rPr>
        <w:t>__</w:t>
      </w:r>
    </w:p>
    <w:p w14:paraId="6792DF4E" w14:textId="77777777" w:rsidR="00E610EE" w:rsidRDefault="00E610EE"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p>
    <w:p w14:paraId="088DAAC6"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Уповноважена особа</w:t>
      </w:r>
    </w:p>
    <w:p w14:paraId="3DDD35F0" w14:textId="02098835" w:rsidR="00AE5B1D" w:rsidRPr="00AE5B1D" w:rsidRDefault="005318A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lang w:val="ru-RU"/>
        </w:rPr>
        <w:t>О.Я.Іванчук</w:t>
      </w:r>
      <w:r w:rsidR="00AE5B1D" w:rsidRPr="00AE5B1D">
        <w:rPr>
          <w:rFonts w:ascii="Times New Roman" w:eastAsia="Calibri" w:hAnsi="Times New Roman" w:cs="Times New Roman"/>
          <w:sz w:val="24"/>
          <w:szCs w:val="24"/>
        </w:rPr>
        <w:t xml:space="preserve"> </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ТЕНДЕРНА  ДОКУМЕНТАЦІЯ </w:t>
      </w:r>
    </w:p>
    <w:p w14:paraId="5D2A17DE" w14:textId="77777777" w:rsidR="00F828E2" w:rsidRPr="00F828E2"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2E27B70"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5A63EB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процедури закупівлі – відкриті торги з особливостями</w:t>
      </w:r>
    </w:p>
    <w:p w14:paraId="7497054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Електрична енергія (електрична енергія) – за кодом СРV  ДК 021:2015 – 09310000-5</w:t>
      </w:r>
    </w:p>
    <w:p w14:paraId="60B2F9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6C3F31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55CAD46" w14:textId="77777777" w:rsidR="00E11A8D" w:rsidRPr="00AE5B1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298DF2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DB63F53" w14:textId="77777777" w:rsidR="00204D7D" w:rsidRDefault="00204D7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03F8F1C6" w14:textId="77777777" w:rsidR="005318AD" w:rsidRDefault="005318AD" w:rsidP="005318AD">
      <w:pPr>
        <w:widowControl w:val="0"/>
        <w:tabs>
          <w:tab w:val="left" w:pos="5670"/>
          <w:tab w:val="left" w:pos="5812"/>
        </w:tabs>
        <w:spacing w:after="0" w:line="240" w:lineRule="auto"/>
        <w:contextualSpacing/>
        <w:outlineLvl w:val="0"/>
        <w:rPr>
          <w:rFonts w:ascii="Times New Roman" w:eastAsia="Calibri" w:hAnsi="Times New Roman" w:cs="Times New Roman"/>
          <w:sz w:val="28"/>
          <w:szCs w:val="28"/>
        </w:rPr>
      </w:pPr>
    </w:p>
    <w:p w14:paraId="43A830AA" w14:textId="62977B4D" w:rsidR="00AE5B1D" w:rsidRPr="00AE5B1D" w:rsidRDefault="005318AD" w:rsidP="005318AD">
      <w:pPr>
        <w:widowControl w:val="0"/>
        <w:tabs>
          <w:tab w:val="left" w:pos="5670"/>
          <w:tab w:val="left" w:pos="5812"/>
        </w:tabs>
        <w:spacing w:after="0" w:line="240" w:lineRule="auto"/>
        <w:contextualSpacing/>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A16E3">
        <w:rPr>
          <w:rFonts w:ascii="Times New Roman" w:eastAsia="Calibri" w:hAnsi="Times New Roman" w:cs="Times New Roman"/>
          <w:sz w:val="28"/>
          <w:szCs w:val="28"/>
        </w:rPr>
        <w:t>с.Степове</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3C626C1F" w:rsidR="0073455C" w:rsidRPr="00D438BF" w:rsidRDefault="00D438BF" w:rsidP="008E6F97">
            <w:pPr>
              <w:spacing w:before="100" w:after="100"/>
              <w:jc w:val="both"/>
              <w:rPr>
                <w:rFonts w:ascii="Times New Roman" w:hAnsi="Times New Roman"/>
              </w:rPr>
            </w:pPr>
            <w:bookmarkStart w:id="0" w:name="n44"/>
            <w:bookmarkEnd w:id="0"/>
            <w:r w:rsidRPr="00D438BF">
              <w:rPr>
                <w:rFonts w:ascii="Times New Roman" w:eastAsia="Calibri" w:hAnsi="Times New Roman" w:cs="Times New Roman"/>
                <w:b/>
                <w:lang w:val="ru-RU"/>
              </w:rPr>
              <w:t>С</w:t>
            </w:r>
            <w:r w:rsidRPr="00D438BF">
              <w:rPr>
                <w:rFonts w:ascii="Times New Roman" w:eastAsia="Calibri" w:hAnsi="Times New Roman" w:cs="Times New Roman"/>
                <w:b/>
              </w:rPr>
              <w:t>тепівський</w:t>
            </w:r>
            <w:bookmarkStart w:id="1" w:name="_GoBack"/>
            <w:bookmarkEnd w:id="1"/>
            <w:r w:rsidRPr="00D438BF">
              <w:rPr>
                <w:rFonts w:ascii="Times New Roman" w:eastAsia="Calibri" w:hAnsi="Times New Roman" w:cs="Times New Roman"/>
                <w:b/>
              </w:rPr>
              <w:t xml:space="preserve"> дитячий будинок - інтернат</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5FB42D56" w14:textId="77777777" w:rsidR="00D438BF" w:rsidRDefault="00D438BF" w:rsidP="00D438BF">
            <w:pPr>
              <w:pStyle w:val="a3"/>
              <w:spacing w:before="0" w:beforeAutospacing="0" w:after="0" w:afterAutospacing="0"/>
              <w:jc w:val="both"/>
              <w:rPr>
                <w:szCs w:val="24"/>
                <w:lang w:val="uk-UA" w:eastAsia="uk-UA"/>
              </w:rPr>
            </w:pPr>
            <w:r>
              <w:rPr>
                <w:szCs w:val="24"/>
                <w:lang w:val="uk-UA" w:eastAsia="uk-UA"/>
              </w:rPr>
              <w:t xml:space="preserve">с.Степове вул. Козацька 45. Миколаївського ра-ну, Миколаївської обл. </w:t>
            </w:r>
          </w:p>
          <w:p w14:paraId="752829B1" w14:textId="5C95C375" w:rsidR="0073455C" w:rsidRPr="009F275F" w:rsidRDefault="0073455C" w:rsidP="008E6F97">
            <w:pPr>
              <w:spacing w:before="100" w:after="100"/>
              <w:jc w:val="both"/>
              <w:rPr>
                <w:rFonts w:ascii="Times New Roman" w:hAnsi="Times New Roman"/>
                <w:color w:val="000000"/>
                <w:sz w:val="24"/>
                <w:szCs w:val="24"/>
              </w:rPr>
            </w:pP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1E351B3" w14:textId="6C2F44C6" w:rsidR="0073455C" w:rsidRPr="0093748B" w:rsidRDefault="00D438BF" w:rsidP="008E6F97">
            <w:pPr>
              <w:spacing w:after="0" w:line="240" w:lineRule="auto"/>
              <w:jc w:val="both"/>
              <w:rPr>
                <w:rFonts w:ascii="Times New Roman" w:hAnsi="Times New Roman"/>
                <w:sz w:val="24"/>
                <w:szCs w:val="24"/>
              </w:rPr>
            </w:pPr>
            <w:r>
              <w:rPr>
                <w:rFonts w:ascii="Times New Roman" w:hAnsi="Times New Roman"/>
                <w:sz w:val="24"/>
                <w:szCs w:val="24"/>
              </w:rPr>
              <w:t>Т.В.Петренко т.0980325951</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15CEE2E7" w14:textId="77777777" w:rsidR="00C92F59" w:rsidRDefault="00F11F68" w:rsidP="00C92F59">
            <w:pPr>
              <w:pStyle w:val="a3"/>
              <w:spacing w:before="0" w:beforeAutospacing="0" w:after="0" w:afterAutospacing="0"/>
              <w:jc w:val="both"/>
              <w:rPr>
                <w:szCs w:val="24"/>
                <w:lang w:val="uk-UA" w:eastAsia="uk-UA"/>
              </w:rPr>
            </w:pPr>
            <w:r w:rsidRPr="00F11F68">
              <w:rPr>
                <w:szCs w:val="24"/>
                <w:lang w:val="uk-UA" w:eastAsia="uk-UA"/>
              </w:rPr>
              <w:t xml:space="preserve"> </w:t>
            </w:r>
            <w:r w:rsidR="00C92F59">
              <w:rPr>
                <w:szCs w:val="24"/>
                <w:lang w:val="uk-UA" w:eastAsia="uk-UA"/>
              </w:rPr>
              <w:t xml:space="preserve">57107 с.Степове вул. Козацька 45. Миколаївського ра-ну, Миколаївської обл. </w:t>
            </w:r>
          </w:p>
          <w:p w14:paraId="7EE8ED57" w14:textId="77777777" w:rsidR="00C92F59" w:rsidRDefault="00C92F59" w:rsidP="00C92F59">
            <w:pPr>
              <w:pStyle w:val="a3"/>
              <w:spacing w:before="0" w:beforeAutospacing="0" w:after="0" w:afterAutospacing="0"/>
              <w:jc w:val="both"/>
              <w:rPr>
                <w:szCs w:val="24"/>
                <w:lang w:val="uk-UA" w:eastAsia="uk-UA"/>
              </w:rPr>
            </w:pPr>
          </w:p>
          <w:p w14:paraId="59BE8C43" w14:textId="3CE3816C" w:rsidR="009457A8" w:rsidRPr="00C92F59" w:rsidRDefault="00C92F59" w:rsidP="00C92F59">
            <w:pPr>
              <w:pStyle w:val="a3"/>
              <w:spacing w:before="0" w:beforeAutospacing="0" w:after="0" w:afterAutospacing="0"/>
              <w:jc w:val="both"/>
              <w:rPr>
                <w:szCs w:val="24"/>
                <w:u w:val="single"/>
                <w:lang w:val="uk-UA" w:eastAsia="uk-UA"/>
              </w:rPr>
            </w:pPr>
            <w:r w:rsidRPr="00C92F59">
              <w:rPr>
                <w:szCs w:val="24"/>
                <w:u w:val="single"/>
                <w:lang w:val="uk-UA" w:eastAsia="uk-UA"/>
              </w:rPr>
              <w:t>88354 кВт*год.</w:t>
            </w:r>
          </w:p>
        </w:tc>
      </w:tr>
      <w:tr w:rsidR="009457A8" w:rsidRPr="00FB2182" w14:paraId="3C9EC7EC" w14:textId="77777777" w:rsidTr="00C8471C">
        <w:trPr>
          <w:trHeight w:val="274"/>
          <w:jc w:val="center"/>
        </w:trPr>
        <w:tc>
          <w:tcPr>
            <w:tcW w:w="57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4.4</w:t>
            </w:r>
          </w:p>
        </w:tc>
        <w:tc>
          <w:tcPr>
            <w:tcW w:w="3147" w:type="dxa"/>
          </w:tcPr>
          <w:p w14:paraId="19845EE0"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1FAA30E5" w:rsidR="009457A8" w:rsidRPr="002B2DA2" w:rsidRDefault="009457A8" w:rsidP="00C92F59">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sidR="00C92F59">
              <w:rPr>
                <w:rFonts w:ascii="Times New Roman" w:hAnsi="Times New Roman" w:cs="Times New Roman"/>
                <w:sz w:val="24"/>
                <w:szCs w:val="24"/>
              </w:rPr>
              <w:t xml:space="preserve"> </w:t>
            </w:r>
            <w:r w:rsidR="00C92F59" w:rsidRPr="00C92F59">
              <w:rPr>
                <w:rFonts w:ascii="Times New Roman" w:hAnsi="Times New Roman" w:cs="Times New Roman"/>
                <w:b/>
                <w:sz w:val="24"/>
                <w:szCs w:val="24"/>
              </w:rPr>
              <w:t>з 01.01.2024 р.</w:t>
            </w:r>
            <w:r w:rsidR="00C92F59">
              <w:rPr>
                <w:rFonts w:ascii="Times New Roman" w:hAnsi="Times New Roman" w:cs="Times New Roman"/>
                <w:b/>
                <w:sz w:val="24"/>
                <w:szCs w:val="24"/>
              </w:rPr>
              <w:t xml:space="preserve"> </w:t>
            </w:r>
            <w:r w:rsidRPr="00C92F59">
              <w:rPr>
                <w:rFonts w:ascii="Times New Roman" w:hAnsi="Times New Roman" w:cs="Times New Roman"/>
                <w:b/>
                <w:sz w:val="24"/>
                <w:szCs w:val="24"/>
              </w:rPr>
              <w:t>до</w:t>
            </w:r>
            <w:r w:rsidR="00F85B0A" w:rsidRPr="00C92F59">
              <w:rPr>
                <w:rFonts w:ascii="Times New Roman" w:hAnsi="Times New Roman" w:cs="Times New Roman"/>
                <w:b/>
                <w:sz w:val="24"/>
                <w:szCs w:val="24"/>
              </w:rPr>
              <w:t xml:space="preserve"> </w:t>
            </w:r>
            <w:r w:rsidR="00C92F59" w:rsidRPr="00C92F59">
              <w:rPr>
                <w:rFonts w:ascii="Times New Roman" w:hAnsi="Times New Roman" w:cs="Times New Roman"/>
                <w:b/>
                <w:sz w:val="24"/>
                <w:szCs w:val="24"/>
              </w:rPr>
              <w:t>31.12.2024</w:t>
            </w:r>
            <w:r w:rsidR="00E11A8D" w:rsidRPr="00C92F59">
              <w:rPr>
                <w:rFonts w:ascii="Times New Roman" w:hAnsi="Times New Roman" w:cs="Times New Roman"/>
                <w:b/>
                <w:sz w:val="24"/>
                <w:szCs w:val="24"/>
              </w:rPr>
              <w:t xml:space="preserve"> </w:t>
            </w:r>
            <w:r w:rsidRPr="00C92F59">
              <w:rPr>
                <w:rFonts w:ascii="Times New Roman" w:hAnsi="Times New Roman" w:cs="Times New Roman"/>
                <w:b/>
                <w:sz w:val="24"/>
                <w:szCs w:val="24"/>
              </w:rPr>
              <w:t>року</w:t>
            </w:r>
            <w:r w:rsidRPr="00C55F02">
              <w:rPr>
                <w:rFonts w:ascii="Times New Roman" w:hAnsi="Times New Roman" w:cs="Times New Roman"/>
                <w:b/>
                <w:sz w:val="24"/>
                <w:szCs w:val="24"/>
              </w:rPr>
              <w:t>.</w:t>
            </w:r>
            <w:r w:rsidR="00C92F59">
              <w:rPr>
                <w:rFonts w:ascii="Times New Roman" w:hAnsi="Times New Roman" w:cs="Times New Roman"/>
                <w:b/>
                <w:sz w:val="24"/>
                <w:szCs w:val="24"/>
              </w:rPr>
              <w:t xml:space="preserve"> включно.</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Pr>
                <w:rFonts w:ascii="Times New Roman" w:eastAsia="Times New Roman" w:hAnsi="Times New Roman" w:cs="Times New Roman"/>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1AD22987"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r w:rsidR="00C92F59" w:rsidRPr="009457A8">
              <w:rPr>
                <w:rFonts w:ascii="Times New Roman" w:hAnsi="Times New Roman" w:cs="Times New Roman"/>
                <w:sz w:val="24"/>
                <w:szCs w:val="24"/>
                <w:highlight w:val="white"/>
                <w:lang w:val="uk-UA"/>
              </w:rPr>
              <w:t>машино зчитувальному</w:t>
            </w:r>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B5207A">
              <w:rPr>
                <w:rFonts w:ascii="Times New Roman" w:eastAsia="Times New Roman" w:hAnsi="Times New Roman" w:cs="Times New Roman"/>
                <w:color w:val="000000" w:themeColor="text1"/>
                <w:sz w:val="24"/>
                <w:szCs w:val="24"/>
                <w:highlight w:val="white"/>
              </w:rPr>
              <w:lastRenderedPageBreak/>
              <w:t>установлених у </w:t>
            </w:r>
            <w:hyperlink r:id="rId6"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7"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9457A8">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Pr>
                <w:rFonts w:ascii="Times New Roman" w:eastAsia="Times New Roman" w:hAnsi="Times New Roman" w:cs="Times New Roman"/>
                <w:sz w:val="24"/>
                <w:szCs w:val="24"/>
              </w:rPr>
              <w:lastRenderedPageBreak/>
              <w:t>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14587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6" w:name="h.2et92p0" w:colFirst="0" w:colLast="0"/>
            <w:bookmarkEnd w:id="6"/>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541DB623"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C92F59">
              <w:rPr>
                <w:rFonts w:ascii="Times New Roman" w:eastAsia="Times New Roman" w:hAnsi="Times New Roman" w:cs="Times New Roman"/>
                <w:b/>
                <w:i/>
                <w:sz w:val="24"/>
                <w:szCs w:val="24"/>
                <w:u w:val="single"/>
              </w:rPr>
              <w:t>90</w:t>
            </w:r>
            <w:r w:rsidR="00E11A8D">
              <w:rPr>
                <w:rFonts w:ascii="Times New Roman" w:eastAsia="Times New Roman" w:hAnsi="Times New Roman" w:cs="Times New Roman"/>
                <w:b/>
                <w:i/>
                <w:sz w:val="24"/>
                <w:szCs w:val="24"/>
                <w:u w:val="single"/>
              </w:rPr>
              <w:t xml:space="preserve">_ </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117921">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7" w:name="n405"/>
            <w:bookmarkEnd w:id="7"/>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8" w:name="n411"/>
            <w:bookmarkEnd w:id="8"/>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FA4F59">
                <w:rPr>
                  <w:rFonts w:ascii="Times New Roman" w:hAnsi="Times New Roman" w:cs="Times New Roman"/>
                  <w:sz w:val="24"/>
                  <w:szCs w:val="24"/>
                  <w:lang w:val="uk-UA"/>
                </w:rPr>
                <w:t xml:space="preserve"> пунктом третім </w:t>
              </w:r>
            </w:hyperlink>
            <w:hyperlink r:id="rId11">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07A92830"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C92F59">
              <w:rPr>
                <w:rFonts w:ascii="Times New Roman" w:hAnsi="Times New Roman" w:cs="Times New Roman"/>
                <w:b/>
                <w:sz w:val="24"/>
                <w:szCs w:val="24"/>
              </w:rPr>
              <w:t>11.12.2023р.</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2"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F67B8B">
              <w:rPr>
                <w:rFonts w:ascii="Times New Roman" w:eastAsia="Times New Roman" w:hAnsi="Times New Roman" w:cs="Times New Roman"/>
                <w:color w:val="000000" w:themeColor="text1"/>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543C1ECC"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4BC83BB5"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E11A8D">
              <w:rPr>
                <w:rFonts w:ascii="Times New Roman" w:eastAsia="Times New Roman" w:hAnsi="Times New Roman" w:cs="Times New Roman"/>
                <w:color w:val="000000" w:themeColor="text1"/>
                <w:sz w:val="24"/>
                <w:szCs w:val="24"/>
                <w:highlight w:val="white"/>
              </w:rPr>
              <w:t>____</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F67B8B">
              <w:rPr>
                <w:rFonts w:ascii="Times New Roman" w:eastAsia="Times New Roman" w:hAnsi="Times New Roman" w:cs="Times New Roman"/>
                <w:color w:val="000000" w:themeColor="text1"/>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xml:space="preserve">, замовник визначає переможця процедури закупівлі серед тих учасників процедури закупівлі, тендерна пропозиція </w:t>
            </w:r>
            <w:r w:rsidRPr="00F67B8B">
              <w:rPr>
                <w:rFonts w:ascii="Times New Roman" w:eastAsia="Times New Roman" w:hAnsi="Times New Roman" w:cs="Times New Roman"/>
                <w:color w:val="000000" w:themeColor="text1"/>
                <w:sz w:val="24"/>
                <w:szCs w:val="24"/>
                <w:highlight w:val="white"/>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 xml:space="preserve">накладення електронного підпису; або надає копію/ї роз'яснення/нь державних органів щодо </w:t>
            </w:r>
            <w:r w:rsidRPr="00622751">
              <w:rPr>
                <w:rFonts w:ascii="Times New Roman" w:eastAsia="Times New Roman" w:hAnsi="Times New Roman" w:cs="Times New Roman"/>
                <w:color w:val="000000" w:themeColor="text1"/>
                <w:sz w:val="24"/>
                <w:szCs w:val="24"/>
              </w:rPr>
              <w:lastRenderedPageBreak/>
              <w:t>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622751">
              <w:rPr>
                <w:rFonts w:ascii="Times New Roman" w:eastAsia="Times New Roman" w:hAnsi="Times New Roman" w:cs="Times New Roman"/>
                <w:color w:val="000000" w:themeColor="text1"/>
                <w:sz w:val="24"/>
                <w:szCs w:val="24"/>
              </w:rPr>
              <w:lastRenderedPageBreak/>
              <w:t>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C8471C">
        <w:trPr>
          <w:trHeight w:val="699"/>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622751">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622751">
              <w:rPr>
                <w:rFonts w:ascii="Times New Roman" w:eastAsia="Times New Roman" w:hAnsi="Times New Roman" w:cs="Times New Roman"/>
                <w:color w:val="000000" w:themeColor="text1"/>
                <w:sz w:val="24"/>
                <w:szCs w:val="24"/>
                <w:highlight w:val="white"/>
              </w:rPr>
              <w:lastRenderedPageBreak/>
              <w:t xml:space="preserve">документах, що може бути усунена учасником процедури закупівлі відповідно до </w:t>
            </w:r>
            <w:hyperlink r:id="rId14"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BAE6869" w14:textId="38B7659F"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CE8865E" w14:textId="6639868E" w:rsidR="009457A8" w:rsidRPr="00FA4F59" w:rsidRDefault="009457A8" w:rsidP="00622751">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b/>
                <w:color w:val="000000" w:themeColor="text1"/>
                <w:sz w:val="24"/>
                <w:szCs w:val="24"/>
                <w:lang w:eastAsia="ru-RU"/>
              </w:rPr>
              <w:lastRenderedPageBreak/>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F77B8AA" w14:textId="77777777"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47EBDFD6"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w:t>
            </w:r>
            <w:r w:rsidRPr="00622751">
              <w:rPr>
                <w:rFonts w:ascii="Times New Roman" w:eastAsia="Times New Roman" w:hAnsi="Times New Roman" w:cs="Times New Roman"/>
                <w:color w:val="000000" w:themeColor="text1"/>
                <w:sz w:val="24"/>
                <w:szCs w:val="24"/>
                <w:highlight w:val="white"/>
              </w:rPr>
              <w:lastRenderedPageBreak/>
              <w:t>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Проєкт договору про закупівлю </w:t>
            </w:r>
          </w:p>
        </w:tc>
        <w:tc>
          <w:tcPr>
            <w:tcW w:w="6273" w:type="dxa"/>
          </w:tcPr>
          <w:p w14:paraId="1C6CC862" w14:textId="673BD90B"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Проєкт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w:t>
            </w:r>
            <w:r w:rsidR="00D0144A" w:rsidRPr="00FA4F59">
              <w:rPr>
                <w:rFonts w:ascii="Times New Roman" w:hAnsi="Times New Roman" w:cs="Times New Roman"/>
                <w:color w:val="000000"/>
                <w:sz w:val="24"/>
                <w:szCs w:val="24"/>
              </w:rPr>
              <w:t>до цієї</w:t>
            </w:r>
            <w:r w:rsidRPr="00FA4F59">
              <w:rPr>
                <w:rFonts w:ascii="Times New Roman" w:hAnsi="Times New Roman" w:cs="Times New Roman"/>
                <w:color w:val="000000"/>
                <w:sz w:val="24"/>
                <w:szCs w:val="24"/>
              </w:rPr>
              <w:t xml:space="preserve">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oto Sans">
    <w:altName w:val="Times New Roman"/>
    <w:charset w:val="00"/>
    <w:family w:val="swiss"/>
    <w:pitch w:val="variable"/>
    <w:sig w:usb0="E00002FF" w:usb1="4000001F" w:usb2="08000029" w:usb3="00000000" w:csb0="00000001"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D4BBF"/>
    <w:rsid w:val="003E4F73"/>
    <w:rsid w:val="00403D3F"/>
    <w:rsid w:val="00407AA2"/>
    <w:rsid w:val="004870D4"/>
    <w:rsid w:val="00492B5C"/>
    <w:rsid w:val="004C7553"/>
    <w:rsid w:val="004D3159"/>
    <w:rsid w:val="004F07F9"/>
    <w:rsid w:val="004F0B52"/>
    <w:rsid w:val="00505378"/>
    <w:rsid w:val="00526EF8"/>
    <w:rsid w:val="005318AD"/>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5083"/>
    <w:rsid w:val="0075538A"/>
    <w:rsid w:val="00762463"/>
    <w:rsid w:val="00775DC0"/>
    <w:rsid w:val="00793C12"/>
    <w:rsid w:val="007A62FA"/>
    <w:rsid w:val="007D3A87"/>
    <w:rsid w:val="007D5F3F"/>
    <w:rsid w:val="007D6EB1"/>
    <w:rsid w:val="0080087E"/>
    <w:rsid w:val="0082734A"/>
    <w:rsid w:val="00852BF5"/>
    <w:rsid w:val="008834CA"/>
    <w:rsid w:val="00886466"/>
    <w:rsid w:val="008A5465"/>
    <w:rsid w:val="008D2768"/>
    <w:rsid w:val="008E57BF"/>
    <w:rsid w:val="009161B8"/>
    <w:rsid w:val="009162AC"/>
    <w:rsid w:val="009457A8"/>
    <w:rsid w:val="00947DDC"/>
    <w:rsid w:val="009632DA"/>
    <w:rsid w:val="00965C88"/>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16E3"/>
    <w:rsid w:val="00BA20B6"/>
    <w:rsid w:val="00BB416B"/>
    <w:rsid w:val="00BF245D"/>
    <w:rsid w:val="00C039A3"/>
    <w:rsid w:val="00C20D95"/>
    <w:rsid w:val="00C37A0A"/>
    <w:rsid w:val="00C53F9B"/>
    <w:rsid w:val="00C553F6"/>
    <w:rsid w:val="00C623AF"/>
    <w:rsid w:val="00C92F59"/>
    <w:rsid w:val="00CA4CE1"/>
    <w:rsid w:val="00CD0504"/>
    <w:rsid w:val="00CE3783"/>
    <w:rsid w:val="00CE51B8"/>
    <w:rsid w:val="00CE7EA4"/>
    <w:rsid w:val="00CF2386"/>
    <w:rsid w:val="00D0144A"/>
    <w:rsid w:val="00D01DDE"/>
    <w:rsid w:val="00D11E52"/>
    <w:rsid w:val="00D2745C"/>
    <w:rsid w:val="00D438BF"/>
    <w:rsid w:val="00D44CAD"/>
    <w:rsid w:val="00D755F2"/>
    <w:rsid w:val="00D75C30"/>
    <w:rsid w:val="00D771B9"/>
    <w:rsid w:val="00D87BF1"/>
    <w:rsid w:val="00D9784D"/>
    <w:rsid w:val="00DA6FB2"/>
    <w:rsid w:val="00DB029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15:docId w15:val="{5BE85F9C-4F32-4360-B66B-037328E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Заголовок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13</cp:revision>
  <dcterms:created xsi:type="dcterms:W3CDTF">2023-11-03T06:43:00Z</dcterms:created>
  <dcterms:modified xsi:type="dcterms:W3CDTF">2023-12-01T06:50:00Z</dcterms:modified>
</cp:coreProperties>
</file>