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31" w:rsidRDefault="004B1331" w:rsidP="004B1331">
      <w:pPr>
        <w:jc w:val="right"/>
        <w:rPr>
          <w:b/>
        </w:rPr>
      </w:pPr>
    </w:p>
    <w:p w:rsidR="004B1331" w:rsidRDefault="004B1331" w:rsidP="004B1331">
      <w:pPr>
        <w:jc w:val="right"/>
        <w:rPr>
          <w:b/>
        </w:rPr>
      </w:pPr>
    </w:p>
    <w:p w:rsidR="004B1331" w:rsidRPr="005E2B6C" w:rsidRDefault="004B1331" w:rsidP="004B1331">
      <w:pPr>
        <w:jc w:val="center"/>
      </w:pPr>
      <w:r w:rsidRPr="005E2B6C">
        <w:rPr>
          <w:b/>
        </w:rPr>
        <w:t>Договір поставки</w:t>
      </w:r>
    </w:p>
    <w:p w:rsidR="004B1331" w:rsidRPr="005E2B6C" w:rsidRDefault="004B1331" w:rsidP="004B1331">
      <w:pPr>
        <w:jc w:val="center"/>
        <w:rPr>
          <w:b/>
        </w:rPr>
      </w:pPr>
    </w:p>
    <w:p w:rsidR="004B1331" w:rsidRPr="005E2B6C" w:rsidRDefault="004B1331" w:rsidP="004B1331">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4B1331" w:rsidRPr="005E2B6C" w:rsidRDefault="004B1331" w:rsidP="004B1331">
      <w:pPr>
        <w:ind w:right="-36"/>
        <w:jc w:val="both"/>
        <w:rPr>
          <w:color w:val="FF0000"/>
        </w:rPr>
      </w:pPr>
    </w:p>
    <w:p w:rsidR="004B1331" w:rsidRPr="005E2B6C" w:rsidRDefault="004B1331" w:rsidP="004B1331">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4B1331" w:rsidRPr="005E2B6C" w:rsidRDefault="004B1331" w:rsidP="004B1331">
      <w:pPr>
        <w:ind w:right="-36" w:firstLine="709"/>
        <w:jc w:val="center"/>
        <w:rPr>
          <w:b/>
        </w:rPr>
      </w:pPr>
    </w:p>
    <w:p w:rsidR="004B1331" w:rsidRPr="005E2B6C" w:rsidRDefault="004B1331" w:rsidP="004B1331">
      <w:pPr>
        <w:ind w:right="-36" w:firstLine="709"/>
        <w:jc w:val="center"/>
      </w:pPr>
      <w:r w:rsidRPr="005E2B6C">
        <w:rPr>
          <w:b/>
        </w:rPr>
        <w:t>1. Предмет Договору</w:t>
      </w:r>
    </w:p>
    <w:p w:rsidR="004B1331" w:rsidRPr="005E2B6C" w:rsidRDefault="004B1331" w:rsidP="004B1331">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00D12388" w:rsidRPr="00D12388">
        <w:rPr>
          <w:b/>
          <w:bCs/>
          <w:i/>
        </w:rPr>
        <w:t xml:space="preserve">Контейнер для забору калу стерильний без градуювання, не стійкий до </w:t>
      </w:r>
      <w:proofErr w:type="spellStart"/>
      <w:r w:rsidR="00D12388" w:rsidRPr="00D12388">
        <w:rPr>
          <w:b/>
          <w:bCs/>
          <w:i/>
        </w:rPr>
        <w:t>автоклавування</w:t>
      </w:r>
      <w:proofErr w:type="spellEnd"/>
      <w:r w:rsidR="00D12388" w:rsidRPr="00D12388">
        <w:rPr>
          <w:b/>
          <w:bCs/>
          <w:i/>
        </w:rPr>
        <w:t xml:space="preserve">, 30 мл, №1, </w:t>
      </w:r>
      <w:proofErr w:type="spellStart"/>
      <w:r w:rsidR="00D12388" w:rsidRPr="00D12388">
        <w:rPr>
          <w:b/>
          <w:bCs/>
          <w:i/>
        </w:rPr>
        <w:t>Калоприймач</w:t>
      </w:r>
      <w:proofErr w:type="spellEnd"/>
      <w:r w:rsidR="00D12388" w:rsidRPr="00D12388">
        <w:rPr>
          <w:b/>
          <w:bCs/>
          <w:i/>
        </w:rPr>
        <w:t xml:space="preserve">, для дорослих, Двокомпонентний, Рівна пластина, отвір 10-45, діаметр фланця 50 мм, </w:t>
      </w:r>
      <w:proofErr w:type="spellStart"/>
      <w:r w:rsidR="00D12388" w:rsidRPr="00D12388">
        <w:rPr>
          <w:b/>
          <w:bCs/>
          <w:i/>
        </w:rPr>
        <w:t>Уростомний</w:t>
      </w:r>
      <w:proofErr w:type="spellEnd"/>
      <w:r w:rsidR="00D12388" w:rsidRPr="00D12388">
        <w:rPr>
          <w:b/>
          <w:bCs/>
          <w:i/>
        </w:rPr>
        <w:t xml:space="preserve"> мішок двокомпонентний, з дренуючим отвором, без оглядового </w:t>
      </w:r>
      <w:proofErr w:type="spellStart"/>
      <w:r w:rsidR="00D12388" w:rsidRPr="00D12388">
        <w:rPr>
          <w:b/>
          <w:bCs/>
          <w:i/>
        </w:rPr>
        <w:t>вікнця</w:t>
      </w:r>
      <w:proofErr w:type="spellEnd"/>
      <w:r w:rsidR="00D12388" w:rsidRPr="00D12388">
        <w:rPr>
          <w:b/>
          <w:bCs/>
          <w:i/>
        </w:rPr>
        <w:t xml:space="preserve">, діаметр фланця 50 мм, Абсорбуючий порошок 25г, Захисний </w:t>
      </w:r>
      <w:proofErr w:type="spellStart"/>
      <w:r w:rsidR="00D12388" w:rsidRPr="00D12388">
        <w:rPr>
          <w:b/>
          <w:bCs/>
          <w:i/>
        </w:rPr>
        <w:t>спрей</w:t>
      </w:r>
      <w:proofErr w:type="spellEnd"/>
      <w:r w:rsidR="00D12388" w:rsidRPr="00D12388">
        <w:rPr>
          <w:b/>
          <w:bCs/>
          <w:i/>
        </w:rPr>
        <w:t xml:space="preserve"> для шкіри 50-60 мл, Сечоприймач качка для дорослих, одноразовий, нестерильний, чоловічий, 750 мл, №10, Сечоприймач для дорослих, одноразовий, для чоловіків, </w:t>
      </w:r>
      <w:proofErr w:type="spellStart"/>
      <w:r w:rsidR="00D12388" w:rsidRPr="00D12388">
        <w:rPr>
          <w:b/>
          <w:bCs/>
          <w:i/>
        </w:rPr>
        <w:t>уропрезерватив</w:t>
      </w:r>
      <w:proofErr w:type="spellEnd"/>
      <w:r w:rsidR="00D12388" w:rsidRPr="00D12388">
        <w:rPr>
          <w:b/>
          <w:bCs/>
          <w:i/>
        </w:rPr>
        <w:t xml:space="preserve"> самоклеючий, Ø 30 мм, Паста </w:t>
      </w:r>
      <w:proofErr w:type="spellStart"/>
      <w:r w:rsidR="00D12388" w:rsidRPr="00D12388">
        <w:rPr>
          <w:b/>
          <w:bCs/>
          <w:i/>
        </w:rPr>
        <w:t>герметизуюча</w:t>
      </w:r>
      <w:proofErr w:type="spellEnd"/>
      <w:r w:rsidR="00D12388" w:rsidRPr="00D12388">
        <w:rPr>
          <w:b/>
          <w:bCs/>
          <w:i/>
        </w:rPr>
        <w:t xml:space="preserve"> 60 грам, Контейнер для забору сечі стерильний з градуюванням, не стійкий до </w:t>
      </w:r>
      <w:proofErr w:type="spellStart"/>
      <w:r w:rsidR="00D12388" w:rsidRPr="00D12388">
        <w:rPr>
          <w:b/>
          <w:bCs/>
          <w:i/>
        </w:rPr>
        <w:t>автоклавування</w:t>
      </w:r>
      <w:proofErr w:type="spellEnd"/>
      <w:r w:rsidR="00D12388" w:rsidRPr="00D12388">
        <w:rPr>
          <w:b/>
          <w:bCs/>
          <w:i/>
        </w:rPr>
        <w:t xml:space="preserve">, 120 мл, №1, Сечоприймач качка для дорослих, багаторазовий, нестерильний, для чоловіків, 1000 мл, №1, </w:t>
      </w:r>
      <w:proofErr w:type="spellStart"/>
      <w:r w:rsidR="00D12388" w:rsidRPr="00D12388">
        <w:rPr>
          <w:b/>
          <w:bCs/>
          <w:i/>
        </w:rPr>
        <w:t>Калоприймач</w:t>
      </w:r>
      <w:proofErr w:type="spellEnd"/>
      <w:r w:rsidR="00D12388" w:rsidRPr="00D12388">
        <w:rPr>
          <w:b/>
          <w:bCs/>
          <w:i/>
        </w:rPr>
        <w:t xml:space="preserve"> для дорослих, однокомпонентний, відкритий (з дренуючим отвором), з оглядовим віконцем, пластина рівна, діаметр отвору для вирізання, від (внутрішній) 10, діаметр отвору для вирізання, до (зовнішній) 100</w:t>
      </w:r>
      <w:r w:rsidRPr="00D12388">
        <w:rPr>
          <w:b/>
          <w:bCs/>
          <w:i/>
        </w:rPr>
        <w:t xml:space="preserve">, </w:t>
      </w:r>
      <w:r w:rsidRPr="00D12388">
        <w:rPr>
          <w:bCs/>
        </w:rPr>
        <w:t>згідно коду</w:t>
      </w:r>
      <w:r w:rsidRPr="00D12388">
        <w:rPr>
          <w:b/>
          <w:bCs/>
          <w:i/>
        </w:rPr>
        <w:t xml:space="preserve"> </w:t>
      </w:r>
      <w:r w:rsidRPr="00D12388">
        <w:t>ДК 021:2015</w:t>
      </w:r>
      <w:r w:rsidRPr="00D12388">
        <w:rPr>
          <w:b/>
        </w:rPr>
        <w:t xml:space="preserve"> </w:t>
      </w:r>
      <w:r w:rsidR="00D12388" w:rsidRPr="00D12388">
        <w:rPr>
          <w:b/>
          <w:bCs/>
        </w:rPr>
        <w:t>33140000-3 - Медичні матеріали</w:t>
      </w:r>
      <w:r w:rsidRPr="00D12388">
        <w:t xml:space="preserve"> (</w:t>
      </w:r>
      <w:r w:rsidRPr="00D12388">
        <w:rPr>
          <w:color w:val="000000"/>
        </w:rPr>
        <w:t>далі – товар),  визначений в асортименті, якості</w:t>
      </w:r>
      <w:r w:rsidRPr="00D12388">
        <w:t>, кількості та за цінами</w:t>
      </w:r>
      <w:r w:rsidRPr="005E2B6C">
        <w:t>,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4B1331" w:rsidRPr="005E2B6C" w:rsidRDefault="004B1331" w:rsidP="004B1331">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4B1331" w:rsidRPr="005E2B6C" w:rsidRDefault="004B1331" w:rsidP="004B1331">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w:t>
      </w:r>
      <w:bookmarkStart w:id="0" w:name="_GoBack"/>
      <w:bookmarkEnd w:id="0"/>
      <w:r w:rsidRPr="005E2B6C">
        <w:rPr>
          <w:color w:val="000000"/>
          <w:lang w:eastAsia="ar-SA"/>
        </w:rPr>
        <w:t xml:space="preserve">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4B1331" w:rsidRPr="005E2B6C" w:rsidRDefault="004B1331" w:rsidP="004B1331">
      <w:pPr>
        <w:tabs>
          <w:tab w:val="left" w:pos="-180"/>
        </w:tabs>
        <w:jc w:val="both"/>
      </w:pPr>
    </w:p>
    <w:p w:rsidR="004B1331" w:rsidRPr="005E2B6C" w:rsidRDefault="004B1331" w:rsidP="004B1331">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4B1331" w:rsidRPr="005E2B6C" w:rsidRDefault="004B1331" w:rsidP="004B1331">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4B1331" w:rsidRPr="005E2B6C" w:rsidRDefault="004B1331" w:rsidP="004B1331">
      <w:pPr>
        <w:ind w:firstLine="709"/>
        <w:jc w:val="both"/>
        <w:rPr>
          <w:b/>
        </w:rPr>
      </w:pPr>
    </w:p>
    <w:p w:rsidR="004B1331" w:rsidRPr="005E2B6C" w:rsidRDefault="004B1331" w:rsidP="004B1331">
      <w:pPr>
        <w:ind w:firstLine="709"/>
        <w:jc w:val="center"/>
      </w:pPr>
      <w:r w:rsidRPr="005E2B6C">
        <w:rPr>
          <w:b/>
        </w:rPr>
        <w:t>3. Сума Договору</w:t>
      </w:r>
    </w:p>
    <w:p w:rsidR="004B1331" w:rsidRPr="005E2B6C" w:rsidRDefault="004B1331" w:rsidP="004B1331">
      <w:pPr>
        <w:ind w:right="-36"/>
        <w:jc w:val="both"/>
      </w:pPr>
      <w:r w:rsidRPr="005E2B6C">
        <w:t>3.1. Ціна на товар встановлюються в національній валюті України - гривні.</w:t>
      </w:r>
    </w:p>
    <w:p w:rsidR="004B1331" w:rsidRPr="005E2B6C" w:rsidRDefault="004B1331" w:rsidP="004B1331">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4B1331" w:rsidRDefault="004B1331" w:rsidP="004B1331">
      <w:pPr>
        <w:jc w:val="both"/>
        <w:rPr>
          <w:lang w:eastAsia="ru-RU"/>
        </w:rPr>
      </w:pPr>
      <w:r w:rsidRPr="005E2B6C">
        <w:lastRenderedPageBreak/>
        <w:t xml:space="preserve">3.3. </w:t>
      </w:r>
      <w:r w:rsidRPr="005E2B6C">
        <w:rPr>
          <w:lang w:eastAsia="ru-RU"/>
        </w:rPr>
        <w:t xml:space="preserve">Ціна (сума) цього Договору </w:t>
      </w:r>
      <w:r>
        <w:rPr>
          <w:lang w:eastAsia="ru-RU"/>
        </w:rPr>
        <w:t>складає</w:t>
      </w:r>
      <w:r w:rsidRPr="005E2B6C">
        <w:rPr>
          <w:lang w:eastAsia="ru-RU"/>
        </w:rPr>
        <w:t>:</w:t>
      </w:r>
      <w:r>
        <w:rPr>
          <w:lang w:eastAsia="ru-RU"/>
        </w:rPr>
        <w:t xml:space="preserve"> </w:t>
      </w:r>
      <w:r w:rsidRPr="00364A47">
        <w:rPr>
          <w:b/>
          <w:bCs/>
          <w:lang w:val="ru-RU" w:eastAsia="ru-RU"/>
        </w:rPr>
        <w:t>_____________________________</w:t>
      </w:r>
      <w:r>
        <w:rPr>
          <w:b/>
          <w:bCs/>
          <w:lang w:eastAsia="ru-RU"/>
        </w:rPr>
        <w:t xml:space="preserve"> грн.</w:t>
      </w:r>
      <w:r w:rsidRPr="005E2B6C">
        <w:rPr>
          <w:lang w:eastAsia="ru-RU"/>
        </w:rPr>
        <w:t xml:space="preserve"> </w:t>
      </w:r>
      <w:r>
        <w:rPr>
          <w:lang w:eastAsia="ru-RU"/>
        </w:rPr>
        <w:t>(</w:t>
      </w:r>
      <w:r w:rsidRPr="00FD2EF4">
        <w:rPr>
          <w:lang w:val="ru-RU" w:eastAsia="ru-RU"/>
        </w:rPr>
        <w:t>_____________________________</w:t>
      </w:r>
      <w:r>
        <w:rPr>
          <w:lang w:eastAsia="ru-RU"/>
        </w:rPr>
        <w:t xml:space="preserve"> гривень </w:t>
      </w:r>
      <w:r w:rsidRPr="00FD2EF4">
        <w:rPr>
          <w:lang w:val="ru-RU" w:eastAsia="ru-RU"/>
        </w:rPr>
        <w:t>_____________</w:t>
      </w:r>
      <w:r>
        <w:rPr>
          <w:lang w:eastAsia="ru-RU"/>
        </w:rPr>
        <w:t xml:space="preserve"> копійок), в тому числі ПДВ </w:t>
      </w:r>
      <w:r w:rsidRPr="00FD2EF4">
        <w:rPr>
          <w:lang w:val="ru-RU" w:eastAsia="ru-RU"/>
        </w:rPr>
        <w:t>___________________</w:t>
      </w:r>
      <w:r>
        <w:rPr>
          <w:lang w:eastAsia="ru-RU"/>
        </w:rPr>
        <w:t xml:space="preserve"> грн. (</w:t>
      </w:r>
      <w:r w:rsidRPr="00FD2EF4">
        <w:rPr>
          <w:lang w:val="ru-RU" w:eastAsia="ru-RU"/>
        </w:rPr>
        <w:t>____________________</w:t>
      </w:r>
      <w:r>
        <w:rPr>
          <w:lang w:eastAsia="ru-RU"/>
        </w:rPr>
        <w:t xml:space="preserve"> гривень </w:t>
      </w:r>
      <w:r w:rsidRPr="00FD2EF4">
        <w:rPr>
          <w:lang w:val="ru-RU" w:eastAsia="ru-RU"/>
        </w:rPr>
        <w:t>_______________</w:t>
      </w:r>
      <w:r>
        <w:rPr>
          <w:lang w:eastAsia="ru-RU"/>
        </w:rPr>
        <w:t xml:space="preserve"> копійок)</w:t>
      </w:r>
      <w:r w:rsidRPr="00FD2EF4">
        <w:rPr>
          <w:lang w:val="ru-RU" w:eastAsia="ru-RU"/>
        </w:rPr>
        <w:t xml:space="preserve">/без </w:t>
      </w:r>
      <w:r>
        <w:rPr>
          <w:lang w:eastAsia="ru-RU"/>
        </w:rPr>
        <w:t>ПДВ.</w:t>
      </w:r>
    </w:p>
    <w:p w:rsidR="004B1331" w:rsidRPr="005E2B6C" w:rsidRDefault="004B1331" w:rsidP="004B1331">
      <w:pPr>
        <w:jc w:val="both"/>
        <w:rPr>
          <w:lang w:eastAsia="ru-RU"/>
        </w:rPr>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4B1331" w:rsidRPr="005E2B6C" w:rsidRDefault="004B1331" w:rsidP="004B1331">
      <w:r w:rsidRPr="005E2B6C">
        <w:t xml:space="preserve">3.4.1. за ініціативою Постачальника в разі зміни в бік збільшення: </w:t>
      </w:r>
    </w:p>
    <w:p w:rsidR="004B1331" w:rsidRPr="005E2B6C" w:rsidRDefault="004B1331" w:rsidP="004B1331">
      <w:pPr>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4B1331" w:rsidRPr="005E2B6C" w:rsidRDefault="004B1331" w:rsidP="004B1331">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4B1331" w:rsidRPr="005E2B6C" w:rsidRDefault="004B1331" w:rsidP="004B1331">
      <w:pPr>
        <w:jc w:val="both"/>
      </w:pPr>
      <w:r w:rsidRPr="005E2B6C">
        <w:t xml:space="preserve">- встановленого згідно із законодавством органами державної статистики індексу споживчих цін; </w:t>
      </w:r>
    </w:p>
    <w:p w:rsidR="004B1331" w:rsidRPr="005E2B6C" w:rsidRDefault="004B1331" w:rsidP="004B1331">
      <w:r w:rsidRPr="005E2B6C">
        <w:t xml:space="preserve">- курсу іноземної валюти; </w:t>
      </w:r>
    </w:p>
    <w:p w:rsidR="004B1331" w:rsidRPr="005E2B6C" w:rsidRDefault="004B1331" w:rsidP="004B1331">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4B1331" w:rsidRPr="005E2B6C" w:rsidRDefault="004B1331" w:rsidP="004B1331">
      <w:r w:rsidRPr="005E2B6C">
        <w:t>- регульованих цін (тарифів) і нормативів.</w:t>
      </w:r>
    </w:p>
    <w:p w:rsidR="004B1331" w:rsidRPr="005E2B6C" w:rsidRDefault="004B1331" w:rsidP="004B1331">
      <w:r w:rsidRPr="005E2B6C">
        <w:t xml:space="preserve">3.4.2. за ініціативою Покупця в разі зміни в бік зменшення.   </w:t>
      </w:r>
    </w:p>
    <w:p w:rsidR="004B1331" w:rsidRPr="005E2B6C" w:rsidRDefault="004B1331" w:rsidP="004B1331">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4B1331" w:rsidRPr="005E2B6C" w:rsidRDefault="004B1331" w:rsidP="004B1331">
      <w:pPr>
        <w:jc w:val="both"/>
      </w:pPr>
      <w:r w:rsidRPr="005E2B6C">
        <w:t>3.6. Сума Договору може бути зменшена за взаємною письмовою згодою Сторін.</w:t>
      </w:r>
    </w:p>
    <w:p w:rsidR="004B1331" w:rsidRPr="005E2B6C" w:rsidRDefault="004B1331" w:rsidP="004B1331">
      <w:pPr>
        <w:tabs>
          <w:tab w:val="left" w:pos="540"/>
        </w:tabs>
        <w:ind w:left="1968" w:right="-34"/>
        <w:jc w:val="center"/>
        <w:rPr>
          <w:b/>
        </w:rPr>
      </w:pPr>
    </w:p>
    <w:p w:rsidR="004B1331" w:rsidRPr="005E2B6C" w:rsidRDefault="004B1331" w:rsidP="004B1331">
      <w:pPr>
        <w:tabs>
          <w:tab w:val="left" w:pos="540"/>
        </w:tabs>
        <w:jc w:val="center"/>
      </w:pPr>
      <w:r w:rsidRPr="005E2B6C">
        <w:rPr>
          <w:b/>
        </w:rPr>
        <w:t>4. Порядок здійснення оплати</w:t>
      </w:r>
    </w:p>
    <w:p w:rsidR="004B1331" w:rsidRPr="005E2B6C" w:rsidRDefault="004B1331" w:rsidP="004B133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4B1331" w:rsidRPr="005E2B6C" w:rsidRDefault="004B1331" w:rsidP="004B133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4B1331" w:rsidRPr="005E2B6C" w:rsidRDefault="004B1331" w:rsidP="004B133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Pr>
          <w:color w:val="000000"/>
          <w:spacing w:val="-3"/>
        </w:rPr>
        <w:t>14</w:t>
      </w:r>
      <w:r w:rsidRPr="005E2B6C">
        <w:rPr>
          <w:color w:val="000000"/>
          <w:spacing w:val="-3"/>
        </w:rPr>
        <w:t xml:space="preserve"> календарних днів з дати поставки товару.</w:t>
      </w:r>
    </w:p>
    <w:p w:rsidR="004B1331" w:rsidRPr="005E2B6C" w:rsidRDefault="004B1331" w:rsidP="004B133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4B1331" w:rsidRPr="005E2B6C" w:rsidRDefault="004B1331" w:rsidP="004B1331">
      <w:pPr>
        <w:ind w:firstLine="709"/>
        <w:jc w:val="center"/>
      </w:pPr>
      <w:r w:rsidRPr="005E2B6C">
        <w:rPr>
          <w:b/>
        </w:rPr>
        <w:t>5. Поставка товару</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t>3</w:t>
      </w:r>
      <w:r w:rsidRPr="005E2B6C">
        <w:t xml:space="preserve"> (</w:t>
      </w:r>
      <w:r>
        <w:t>трьох</w:t>
      </w:r>
      <w:r w:rsidRPr="005E2B6C">
        <w:t xml:space="preserve">) днів від дати заявки. </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4B1331" w:rsidRPr="005E2B6C" w:rsidRDefault="004B1331" w:rsidP="004B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4B1331" w:rsidRPr="005E2B6C" w:rsidRDefault="004B1331" w:rsidP="004B1331">
      <w:pPr>
        <w:jc w:val="both"/>
      </w:pPr>
      <w:r w:rsidRPr="005E2B6C">
        <w:t>5.6. Під час постачання медикаментів необхідно надавати наступні супроводжуючі документи:</w:t>
      </w:r>
    </w:p>
    <w:p w:rsidR="004B1331" w:rsidRPr="005E2B6C" w:rsidRDefault="004B1331" w:rsidP="004B1331">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4B1331" w:rsidRPr="005E2B6C" w:rsidRDefault="004B1331" w:rsidP="004B1331">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4B1331" w:rsidRPr="005E2B6C" w:rsidRDefault="004B1331" w:rsidP="004B1331">
      <w:pPr>
        <w:jc w:val="both"/>
      </w:pPr>
      <w:r w:rsidRPr="005E2B6C">
        <w:t>- інструкції щодо застосування лікарського засобу;</w:t>
      </w:r>
    </w:p>
    <w:p w:rsidR="004B1331" w:rsidRPr="005E2B6C" w:rsidRDefault="004B1331" w:rsidP="004B1331">
      <w:pPr>
        <w:jc w:val="both"/>
        <w:rPr>
          <w:i/>
        </w:rPr>
      </w:pPr>
      <w:r w:rsidRPr="005E2B6C">
        <w:lastRenderedPageBreak/>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4B1331" w:rsidRPr="005E2B6C" w:rsidRDefault="004B1331" w:rsidP="004B1331">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4B1331" w:rsidRPr="005E2B6C" w:rsidRDefault="004B1331" w:rsidP="004B1331">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4B1331" w:rsidRPr="005E2B6C" w:rsidRDefault="004B1331" w:rsidP="004B1331">
      <w:pPr>
        <w:jc w:val="both"/>
      </w:pPr>
    </w:p>
    <w:p w:rsidR="004B1331" w:rsidRPr="005E2B6C" w:rsidRDefault="004B1331" w:rsidP="004B1331">
      <w:pPr>
        <w:ind w:firstLine="851"/>
        <w:jc w:val="center"/>
      </w:pPr>
      <w:r w:rsidRPr="005E2B6C">
        <w:rPr>
          <w:b/>
        </w:rPr>
        <w:t>6. Права та обов’язки Сторін</w:t>
      </w:r>
    </w:p>
    <w:p w:rsidR="004B1331" w:rsidRPr="005E2B6C" w:rsidRDefault="004B1331" w:rsidP="004B1331">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4B1331" w:rsidRPr="005E2B6C" w:rsidRDefault="004B1331" w:rsidP="004B1331">
      <w:pPr>
        <w:jc w:val="both"/>
      </w:pPr>
      <w:r w:rsidRPr="005E2B6C">
        <w:rPr>
          <w:color w:val="121212"/>
        </w:rPr>
        <w:t>6.1.1. Своєчасно та в повному обсязі здійснювати розрахунки за поставлений товар.</w:t>
      </w:r>
    </w:p>
    <w:p w:rsidR="004B1331" w:rsidRPr="005E2B6C" w:rsidRDefault="004B1331" w:rsidP="004B1331">
      <w:pPr>
        <w:jc w:val="both"/>
      </w:pPr>
      <w:r w:rsidRPr="005E2B6C">
        <w:rPr>
          <w:color w:val="121212"/>
        </w:rPr>
        <w:t>6.1.2. Приймати поставлений товар згідно з замовленням за видатковою накладною.</w:t>
      </w:r>
    </w:p>
    <w:p w:rsidR="004B1331" w:rsidRPr="005E2B6C" w:rsidRDefault="004B1331" w:rsidP="004B1331">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4B1331" w:rsidRPr="005E2B6C" w:rsidRDefault="004B1331" w:rsidP="004B1331">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4B1331" w:rsidRPr="005E2B6C" w:rsidRDefault="004B1331" w:rsidP="004B1331">
      <w:pPr>
        <w:jc w:val="both"/>
      </w:pPr>
      <w:r w:rsidRPr="005E2B6C">
        <w:rPr>
          <w:color w:val="121212"/>
        </w:rPr>
        <w:t>6.2.2. Контролювати поставку товару у строки, встановлені даним Договором.</w:t>
      </w:r>
    </w:p>
    <w:p w:rsidR="004B1331" w:rsidRPr="005E2B6C" w:rsidRDefault="004B1331" w:rsidP="004B1331">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4B1331" w:rsidRPr="005E2B6C" w:rsidRDefault="004B1331" w:rsidP="004B1331">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4B1331" w:rsidRPr="005E2B6C" w:rsidRDefault="004B1331" w:rsidP="004B1331">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4B1331" w:rsidRPr="005E2B6C" w:rsidRDefault="004B1331" w:rsidP="004B1331">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4B1331" w:rsidRPr="005E2B6C" w:rsidRDefault="004B1331" w:rsidP="004B1331">
      <w:pPr>
        <w:jc w:val="both"/>
        <w:rPr>
          <w:b/>
          <w:iCs/>
        </w:rPr>
      </w:pPr>
      <w:r w:rsidRPr="005E2B6C">
        <w:rPr>
          <w:color w:val="121212"/>
        </w:rPr>
        <w:t xml:space="preserve">6.3.1. Забезпечити поставку товару у строки, встановлені даним Договором. </w:t>
      </w:r>
    </w:p>
    <w:p w:rsidR="004B1331" w:rsidRPr="005E2B6C" w:rsidRDefault="004B1331" w:rsidP="004B1331">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4B1331" w:rsidRPr="005E2B6C" w:rsidRDefault="004B1331" w:rsidP="004B1331">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4B1331" w:rsidRPr="005E2B6C" w:rsidRDefault="004B1331" w:rsidP="004B1331">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4B1331" w:rsidRPr="005E2B6C" w:rsidRDefault="004B1331" w:rsidP="004B1331">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4B1331" w:rsidRPr="005E2B6C" w:rsidRDefault="004B1331" w:rsidP="004B1331">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4B1331" w:rsidRPr="005E2B6C" w:rsidRDefault="004B1331" w:rsidP="004B1331">
      <w:pPr>
        <w:jc w:val="both"/>
      </w:pPr>
      <w:r w:rsidRPr="005E2B6C">
        <w:rPr>
          <w:color w:val="121212"/>
        </w:rPr>
        <w:t>6.4.1. Своєчасно та в повному обсязі отримати плату за поставлений товар.</w:t>
      </w:r>
    </w:p>
    <w:p w:rsidR="004B1331" w:rsidRPr="005E2B6C" w:rsidRDefault="004B1331" w:rsidP="004B1331">
      <w:pPr>
        <w:jc w:val="center"/>
        <w:rPr>
          <w:b/>
        </w:rPr>
      </w:pPr>
    </w:p>
    <w:p w:rsidR="004B1331" w:rsidRPr="005E2B6C" w:rsidRDefault="004B1331" w:rsidP="004B1331">
      <w:pPr>
        <w:jc w:val="center"/>
      </w:pPr>
      <w:r w:rsidRPr="005E2B6C">
        <w:rPr>
          <w:b/>
        </w:rPr>
        <w:t>7. Відповідальність Сторін</w:t>
      </w:r>
    </w:p>
    <w:p w:rsidR="004B1331" w:rsidRPr="005E2B6C" w:rsidRDefault="004B1331" w:rsidP="004B1331">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B1331" w:rsidRDefault="004B1331" w:rsidP="004B1331">
      <w:pPr>
        <w:jc w:val="both"/>
      </w:pPr>
      <w:r w:rsidRPr="005E2B6C">
        <w:t xml:space="preserve">7.2. У разі невиконання або несвоєчасного виконання зобов'язань при закупівлі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4B1331" w:rsidRPr="005E2B6C" w:rsidRDefault="004B1331" w:rsidP="004B1331">
      <w:pPr>
        <w:jc w:val="both"/>
      </w:pPr>
    </w:p>
    <w:p w:rsidR="004B1331" w:rsidRPr="005E2B6C" w:rsidRDefault="004B1331" w:rsidP="004B1331">
      <w:pPr>
        <w:ind w:right="-34"/>
        <w:jc w:val="center"/>
        <w:rPr>
          <w:b/>
        </w:rPr>
      </w:pPr>
    </w:p>
    <w:p w:rsidR="004B1331" w:rsidRPr="005E2B6C" w:rsidRDefault="004B1331" w:rsidP="004B1331">
      <w:pPr>
        <w:ind w:right="-34"/>
        <w:jc w:val="center"/>
        <w:rPr>
          <w:b/>
        </w:rPr>
      </w:pPr>
      <w:r w:rsidRPr="005E2B6C">
        <w:rPr>
          <w:b/>
        </w:rPr>
        <w:t>8. Обставини непереборної сили (форс-мажор)</w:t>
      </w:r>
    </w:p>
    <w:p w:rsidR="004B1331" w:rsidRPr="005E2B6C" w:rsidRDefault="004B1331" w:rsidP="004B1331">
      <w:pPr>
        <w:ind w:right="-34"/>
        <w:jc w:val="both"/>
      </w:pPr>
      <w:r w:rsidRPr="005E2B6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5E2B6C">
        <w:lastRenderedPageBreak/>
        <w:t>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4B1331" w:rsidRPr="005E2B6C" w:rsidRDefault="004B1331" w:rsidP="004B1331">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B1331" w:rsidRPr="005E2B6C" w:rsidRDefault="004B1331" w:rsidP="004B1331">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B1331" w:rsidRPr="005E2B6C" w:rsidRDefault="004B1331" w:rsidP="004B1331">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B1331" w:rsidRPr="005E2B6C" w:rsidRDefault="004B1331" w:rsidP="004B1331">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B1331" w:rsidRPr="005E2B6C" w:rsidRDefault="004B1331" w:rsidP="004B1331">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B1331" w:rsidRPr="005E2B6C" w:rsidRDefault="004B1331" w:rsidP="004B1331">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B1331" w:rsidRPr="005E2B6C" w:rsidRDefault="004B1331" w:rsidP="004B1331">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B1331" w:rsidRPr="005E2B6C" w:rsidRDefault="004B1331" w:rsidP="004B1331">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B1331" w:rsidRPr="005E2B6C" w:rsidRDefault="004B1331" w:rsidP="004B1331">
      <w:pPr>
        <w:ind w:right="-36"/>
        <w:jc w:val="both"/>
        <w:rPr>
          <w:color w:val="000000" w:themeColor="text1"/>
        </w:rPr>
      </w:pPr>
    </w:p>
    <w:p w:rsidR="004B1331" w:rsidRPr="005E2B6C" w:rsidRDefault="004B1331" w:rsidP="004B1331">
      <w:pPr>
        <w:ind w:right="-36"/>
      </w:pPr>
      <w:r w:rsidRPr="005E2B6C">
        <w:rPr>
          <w:b/>
        </w:rPr>
        <w:t xml:space="preserve">                                                          9. Вирішення спорів</w:t>
      </w:r>
    </w:p>
    <w:p w:rsidR="004B1331" w:rsidRPr="005E2B6C" w:rsidRDefault="004B1331" w:rsidP="004B1331">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4B1331" w:rsidRPr="005E2B6C" w:rsidRDefault="004B1331" w:rsidP="004B1331">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B1331" w:rsidRPr="005E2B6C" w:rsidRDefault="004B1331" w:rsidP="004B1331">
      <w:pPr>
        <w:rPr>
          <w:b/>
          <w:color w:val="000000"/>
        </w:rPr>
      </w:pPr>
    </w:p>
    <w:p w:rsidR="004B1331" w:rsidRPr="005E2B6C" w:rsidRDefault="004B1331" w:rsidP="004B1331">
      <w:pPr>
        <w:ind w:firstLine="720"/>
        <w:jc w:val="center"/>
        <w:rPr>
          <w:b/>
          <w:color w:val="000000"/>
        </w:rPr>
      </w:pPr>
      <w:r w:rsidRPr="005E2B6C">
        <w:rPr>
          <w:b/>
          <w:color w:val="000000"/>
        </w:rPr>
        <w:t>10. Оперативно-господарські санкції</w:t>
      </w:r>
    </w:p>
    <w:p w:rsidR="004B1331" w:rsidRPr="005E2B6C" w:rsidRDefault="004B1331" w:rsidP="004B1331">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B1331" w:rsidRPr="005E2B6C" w:rsidRDefault="004B1331" w:rsidP="004B1331">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4B1331" w:rsidRPr="005E2B6C" w:rsidRDefault="004B1331" w:rsidP="004B1331">
      <w:pPr>
        <w:ind w:left="1080" w:hanging="360"/>
        <w:jc w:val="both"/>
      </w:pPr>
      <w:r w:rsidRPr="005E2B6C">
        <w:rPr>
          <w:rFonts w:ascii="Noto Sans" w:eastAsia="Noto Sans" w:hAnsi="Noto Sans" w:cs="Noto Sans"/>
          <w:sz w:val="20"/>
          <w:szCs w:val="20"/>
        </w:rPr>
        <w:lastRenderedPageBreak/>
        <w:t>●</w:t>
      </w:r>
      <w:r w:rsidRPr="005E2B6C">
        <w:rPr>
          <w:sz w:val="14"/>
          <w:szCs w:val="14"/>
        </w:rPr>
        <w:t xml:space="preserve"> </w:t>
      </w:r>
      <w:r w:rsidRPr="005E2B6C">
        <w:rPr>
          <w:sz w:val="14"/>
          <w:szCs w:val="14"/>
        </w:rPr>
        <w:tab/>
      </w:r>
      <w:r w:rsidRPr="005E2B6C">
        <w:t>якості поставленого товару;</w:t>
      </w:r>
    </w:p>
    <w:p w:rsidR="004B1331" w:rsidRPr="005E2B6C" w:rsidRDefault="004B1331" w:rsidP="004B1331">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4B1331" w:rsidRPr="005E2B6C" w:rsidRDefault="004B1331" w:rsidP="004B1331">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4B1331" w:rsidRPr="005E2B6C" w:rsidRDefault="004B1331" w:rsidP="004B1331">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B1331" w:rsidRPr="005E2B6C" w:rsidRDefault="004B1331" w:rsidP="004B1331">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4B1331" w:rsidRPr="005E2B6C" w:rsidRDefault="004B1331" w:rsidP="004B1331">
      <w:pPr>
        <w:jc w:val="both"/>
      </w:pPr>
    </w:p>
    <w:p w:rsidR="004B1331" w:rsidRPr="005E2B6C" w:rsidRDefault="004B1331" w:rsidP="004B1331">
      <w:pPr>
        <w:jc w:val="both"/>
        <w:rPr>
          <w:b/>
        </w:rPr>
      </w:pPr>
      <w:r w:rsidRPr="005E2B6C">
        <w:rPr>
          <w:b/>
        </w:rPr>
        <w:t xml:space="preserve">                                   11. Порядок зміни умов договору про закупівлю</w:t>
      </w:r>
    </w:p>
    <w:p w:rsidR="004B1331" w:rsidRPr="005E2B6C" w:rsidRDefault="004B1331" w:rsidP="004B1331">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B1331" w:rsidRPr="005E2B6C" w:rsidRDefault="004B1331" w:rsidP="004B1331">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B1331" w:rsidRPr="005E2B6C" w:rsidRDefault="004B1331" w:rsidP="004B1331">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B1331" w:rsidRPr="005E2B6C" w:rsidRDefault="004B1331" w:rsidP="004B1331">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B1331" w:rsidRPr="005E2B6C" w:rsidRDefault="004B1331" w:rsidP="004B1331">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4B1331" w:rsidRPr="005E2B6C" w:rsidRDefault="004B1331" w:rsidP="004B1331">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B1331" w:rsidRPr="005E2B6C" w:rsidRDefault="004B1331" w:rsidP="004B1331">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B1331" w:rsidRPr="005E2B6C" w:rsidRDefault="004B1331" w:rsidP="004B1331">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B1331" w:rsidRPr="005E2B6C" w:rsidRDefault="004B1331" w:rsidP="004B1331">
      <w:pPr>
        <w:jc w:val="both"/>
      </w:pPr>
      <w:r w:rsidRPr="005E2B6C">
        <w:lastRenderedPageBreak/>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B1331" w:rsidRPr="005E2B6C" w:rsidRDefault="004B1331" w:rsidP="004B1331">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B1331" w:rsidRPr="005E2B6C" w:rsidRDefault="004B1331" w:rsidP="004B1331">
      <w:pPr>
        <w:jc w:val="both"/>
      </w:pPr>
      <w:r w:rsidRPr="005E2B6C">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4B1331" w:rsidRPr="005E2B6C" w:rsidRDefault="004B1331" w:rsidP="004B1331">
      <w:pPr>
        <w:jc w:val="both"/>
      </w:pPr>
      <w:r w:rsidRPr="005E2B6C">
        <w:t xml:space="preserve">— невиконання або неналежного виконання протилежною стороною своїх зобов’язань за цим договором про закупівлю </w:t>
      </w:r>
      <w:r w:rsidR="00175C0E">
        <w:t>у строк</w:t>
      </w:r>
      <w:r w:rsidRPr="005E2B6C">
        <w:t>, визначен</w:t>
      </w:r>
      <w:r w:rsidR="00175C0E">
        <w:t>ий</w:t>
      </w:r>
      <w:r w:rsidRPr="005E2B6C">
        <w:t xml:space="preserve"> пунктом </w:t>
      </w:r>
      <w:r>
        <w:t>5.1.</w:t>
      </w:r>
      <w:r w:rsidRPr="005E2B6C">
        <w:t xml:space="preserve"> договору про закупівлю;</w:t>
      </w:r>
    </w:p>
    <w:p w:rsidR="004B1331" w:rsidRPr="005E2B6C" w:rsidRDefault="004B1331" w:rsidP="004B1331">
      <w:pPr>
        <w:jc w:val="both"/>
      </w:pPr>
      <w:r w:rsidRPr="005E2B6C">
        <w:t>— в інших випадках, передбачених договором про закупівлю та чинним законодавством України.</w:t>
      </w:r>
    </w:p>
    <w:p w:rsidR="004B1331" w:rsidRPr="005E2B6C" w:rsidRDefault="004B1331" w:rsidP="004B1331">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B1331" w:rsidRPr="005E2B6C" w:rsidRDefault="004B1331" w:rsidP="004B1331">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B1331" w:rsidRPr="005E2B6C" w:rsidRDefault="004B1331" w:rsidP="004B1331">
      <w:pPr>
        <w:jc w:val="both"/>
      </w:pPr>
      <w:r w:rsidRPr="005E2B6C">
        <w:t>11.10. У випадках, не передбачених дійсним договором про закупівлю, Сторони керуються чинним законодавством України.</w:t>
      </w:r>
    </w:p>
    <w:p w:rsidR="004B1331" w:rsidRPr="005E2B6C" w:rsidRDefault="004B1331" w:rsidP="004B1331">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4B1331" w:rsidRPr="005E2B6C" w:rsidRDefault="004B1331" w:rsidP="004B1331">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4B1331" w:rsidRPr="005E2B6C" w:rsidRDefault="004B1331" w:rsidP="004B1331">
      <w:pPr>
        <w:jc w:val="center"/>
        <w:rPr>
          <w:b/>
        </w:rPr>
      </w:pPr>
    </w:p>
    <w:p w:rsidR="004B1331" w:rsidRPr="005E2B6C" w:rsidRDefault="004B1331" w:rsidP="004B1331">
      <w:pPr>
        <w:jc w:val="center"/>
      </w:pPr>
      <w:r w:rsidRPr="005E2B6C">
        <w:rPr>
          <w:b/>
        </w:rPr>
        <w:t>12. Строк дії Договору</w:t>
      </w:r>
    </w:p>
    <w:p w:rsidR="004B1331" w:rsidRPr="005E2B6C" w:rsidRDefault="004B1331" w:rsidP="004B1331">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4B1331" w:rsidRPr="005E2B6C" w:rsidRDefault="004B1331" w:rsidP="004B1331">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p>
    <w:p w:rsidR="004B1331" w:rsidRPr="005E2B6C" w:rsidRDefault="004B1331" w:rsidP="004B1331">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4B1331" w:rsidRPr="005E2B6C" w:rsidRDefault="004B1331" w:rsidP="004B1331">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4B1331" w:rsidRPr="005E2B6C" w:rsidRDefault="004B1331" w:rsidP="004B1331">
      <w:pPr>
        <w:ind w:right="-36" w:firstLine="709"/>
        <w:jc w:val="both"/>
      </w:pPr>
    </w:p>
    <w:p w:rsidR="004B1331" w:rsidRPr="005E2B6C" w:rsidRDefault="004B1331" w:rsidP="004B1331">
      <w:pPr>
        <w:ind w:firstLine="709"/>
        <w:jc w:val="center"/>
      </w:pPr>
      <w:r w:rsidRPr="005E2B6C">
        <w:rPr>
          <w:b/>
        </w:rPr>
        <w:t>13. Інші умови</w:t>
      </w:r>
    </w:p>
    <w:p w:rsidR="004B1331" w:rsidRPr="005E2B6C" w:rsidRDefault="004B1331" w:rsidP="004B1331">
      <w:pPr>
        <w:jc w:val="both"/>
      </w:pPr>
      <w:r w:rsidRPr="005E2B6C">
        <w:lastRenderedPageBreak/>
        <w:t>13.1. Дія Договору припиняється:</w:t>
      </w:r>
    </w:p>
    <w:p w:rsidR="004B1331" w:rsidRPr="005E2B6C" w:rsidRDefault="004B1331" w:rsidP="004B1331">
      <w:pPr>
        <w:jc w:val="both"/>
      </w:pPr>
      <w:r w:rsidRPr="005E2B6C">
        <w:t xml:space="preserve"> - за згодою Сторін;</w:t>
      </w:r>
    </w:p>
    <w:p w:rsidR="004B1331" w:rsidRPr="005E2B6C" w:rsidRDefault="004B1331" w:rsidP="004B1331">
      <w:pPr>
        <w:jc w:val="both"/>
      </w:pPr>
      <w:r w:rsidRPr="005E2B6C">
        <w:t xml:space="preserve"> - з інших підстав, передбачених цим Договором та чинним законодавством України.;</w:t>
      </w:r>
    </w:p>
    <w:p w:rsidR="004B1331" w:rsidRPr="005E2B6C" w:rsidRDefault="004B1331" w:rsidP="004B1331">
      <w:pPr>
        <w:jc w:val="both"/>
      </w:pPr>
      <w:r w:rsidRPr="005E2B6C">
        <w:t xml:space="preserve"> - невиконання/ неналежного виконання умов даного договору.</w:t>
      </w:r>
    </w:p>
    <w:p w:rsidR="004B1331" w:rsidRDefault="004B1331" w:rsidP="004B1331">
      <w:pPr>
        <w:jc w:val="both"/>
      </w:pPr>
      <w:r w:rsidRPr="005E2B6C">
        <w:t xml:space="preserve"> 13.2.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B1331" w:rsidRDefault="004B1331" w:rsidP="004B1331">
      <w:pPr>
        <w:jc w:val="both"/>
      </w:pPr>
    </w:p>
    <w:p w:rsidR="004B1331" w:rsidRPr="00327189" w:rsidRDefault="004B1331" w:rsidP="004B1331">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B1331" w:rsidRPr="00327189" w:rsidRDefault="004B1331" w:rsidP="004B1331">
      <w:pPr>
        <w:ind w:firstLine="720"/>
        <w:jc w:val="both"/>
      </w:pPr>
    </w:p>
    <w:p w:rsidR="004B1331" w:rsidRPr="00327189" w:rsidRDefault="004B1331" w:rsidP="004B1331">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4B1331" w:rsidRPr="00327189" w:rsidRDefault="004B1331" w:rsidP="004B1331">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B1331" w:rsidRDefault="004B1331" w:rsidP="004B1331">
      <w:pPr>
        <w:ind w:firstLine="720"/>
        <w:jc w:val="both"/>
        <w:rPr>
          <w:color w:val="4A86E8"/>
        </w:rPr>
      </w:pPr>
    </w:p>
    <w:p w:rsidR="004B1331" w:rsidRPr="00327189" w:rsidRDefault="004B1331" w:rsidP="004B1331">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B1331" w:rsidRDefault="004B1331" w:rsidP="004B1331">
      <w:pPr>
        <w:ind w:firstLine="720"/>
        <w:jc w:val="both"/>
        <w:rPr>
          <w:color w:val="4A86E8"/>
        </w:rPr>
      </w:pPr>
    </w:p>
    <w:p w:rsidR="004B1331" w:rsidRPr="00327189" w:rsidRDefault="004B1331" w:rsidP="004B1331">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B1331" w:rsidRDefault="004B1331" w:rsidP="004B1331">
      <w:pPr>
        <w:ind w:firstLine="720"/>
        <w:jc w:val="both"/>
        <w:rPr>
          <w:color w:val="4A86E8"/>
        </w:rPr>
      </w:pPr>
    </w:p>
    <w:p w:rsidR="004B1331" w:rsidRPr="00327189" w:rsidRDefault="004B1331" w:rsidP="004B1331">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4B1331" w:rsidRDefault="004B1331" w:rsidP="004B1331">
      <w:pPr>
        <w:ind w:firstLine="720"/>
        <w:jc w:val="both"/>
        <w:rPr>
          <w:color w:val="4A86E8"/>
        </w:rPr>
      </w:pPr>
    </w:p>
    <w:p w:rsidR="004B1331" w:rsidRPr="00327189" w:rsidRDefault="004B1331" w:rsidP="004B1331">
      <w:pPr>
        <w:ind w:firstLine="720"/>
        <w:jc w:val="both"/>
        <w:rPr>
          <w:i/>
        </w:rPr>
      </w:pPr>
      <w: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4B1331" w:rsidRPr="00327189" w:rsidRDefault="004B1331" w:rsidP="004B1331">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B1331" w:rsidRDefault="004B1331" w:rsidP="004B1331">
      <w:pPr>
        <w:ind w:firstLine="567"/>
        <w:jc w:val="both"/>
      </w:pPr>
    </w:p>
    <w:p w:rsidR="004B1331" w:rsidRPr="00327189" w:rsidRDefault="004B1331" w:rsidP="004B1331">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B1331" w:rsidRDefault="004B1331" w:rsidP="004B1331">
      <w:pPr>
        <w:ind w:firstLine="720"/>
        <w:jc w:val="both"/>
        <w:rPr>
          <w:i/>
          <w:color w:val="4A86E8"/>
        </w:rPr>
      </w:pPr>
    </w:p>
    <w:p w:rsidR="004B1331" w:rsidRPr="00327189" w:rsidRDefault="004B1331" w:rsidP="004B1331">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B1331" w:rsidRDefault="004B1331" w:rsidP="004B1331">
      <w:pPr>
        <w:ind w:firstLine="720"/>
        <w:jc w:val="both"/>
        <w:rPr>
          <w:rFonts w:ascii="Arial" w:eastAsia="Arial" w:hAnsi="Arial" w:cs="Arial"/>
          <w:i/>
          <w:color w:val="323232"/>
          <w:shd w:val="clear" w:color="auto" w:fill="D3D3D3"/>
        </w:rPr>
      </w:pPr>
    </w:p>
    <w:p w:rsidR="004B1331" w:rsidRDefault="004B1331" w:rsidP="004B1331">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B1331" w:rsidRPr="005E2B6C" w:rsidRDefault="004B1331" w:rsidP="004B1331">
      <w:pPr>
        <w:jc w:val="both"/>
      </w:pPr>
      <w:r w:rsidRPr="005E2B6C">
        <w:t>13.3. Договір про закупівлю є нікчемним у разі:</w:t>
      </w:r>
    </w:p>
    <w:p w:rsidR="004B1331" w:rsidRPr="005E2B6C" w:rsidRDefault="004B1331" w:rsidP="004B1331">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4B1331" w:rsidRPr="005E2B6C" w:rsidRDefault="004B1331" w:rsidP="004B1331">
      <w:pPr>
        <w:ind w:firstLine="284"/>
        <w:jc w:val="both"/>
      </w:pPr>
      <w:r w:rsidRPr="005E2B6C">
        <w:t>2) укладення договору з порушенням вимог частини четвертої статті 41 Закону України «Про публічні закупівлі»;</w:t>
      </w:r>
    </w:p>
    <w:p w:rsidR="004B1331" w:rsidRPr="005E2B6C" w:rsidRDefault="004B1331" w:rsidP="004B1331">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4B1331" w:rsidRPr="005E2B6C" w:rsidRDefault="004B1331" w:rsidP="004B1331">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4B1331" w:rsidRPr="005E2B6C" w:rsidRDefault="004B1331" w:rsidP="004B1331">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4B1331" w:rsidRPr="005E2B6C" w:rsidRDefault="004B1331" w:rsidP="004B1331">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B1331" w:rsidRPr="005E2B6C" w:rsidRDefault="004B1331" w:rsidP="004B1331">
      <w:pPr>
        <w:jc w:val="both"/>
      </w:pPr>
      <w:r w:rsidRPr="005E2B6C">
        <w:lastRenderedPageBreak/>
        <w:t>13.6. Цей Договір складений у двох примірниках, що мають однакову юридичну силу, по одному екземпляру для кожної із Сторін.</w:t>
      </w:r>
    </w:p>
    <w:p w:rsidR="004B1331" w:rsidRPr="005E2B6C" w:rsidRDefault="004B1331" w:rsidP="004B1331">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B1331" w:rsidRPr="005E2B6C" w:rsidRDefault="004B1331" w:rsidP="004B1331">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4B1331" w:rsidRPr="005E2B6C" w:rsidRDefault="004B1331" w:rsidP="004B1331">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B1331" w:rsidRPr="005E2B6C" w:rsidRDefault="004B1331" w:rsidP="004B1331">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4B1331" w:rsidRPr="005E2B6C" w:rsidRDefault="004B1331" w:rsidP="004B1331">
      <w:pPr>
        <w:jc w:val="both"/>
      </w:pPr>
      <w:r w:rsidRPr="005E2B6C">
        <w:t>13.11. У всьому іншому, що не передбачено даним Договором, Сторони керуються чинним законодавством України.</w:t>
      </w:r>
    </w:p>
    <w:p w:rsidR="004B1331" w:rsidRPr="005E2B6C" w:rsidRDefault="004B1331" w:rsidP="004B1331">
      <w:pPr>
        <w:jc w:val="both"/>
      </w:pPr>
      <w:r w:rsidRPr="005E2B6C">
        <w:t>13.12. Тип суб'єкта господарювання, згідно ст. 55 Господарського кодексу України:</w:t>
      </w:r>
    </w:p>
    <w:p w:rsidR="004B1331" w:rsidRPr="005E2B6C" w:rsidRDefault="004B1331" w:rsidP="004B1331">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4B1331" w:rsidRPr="005E2B6C" w:rsidRDefault="004B1331" w:rsidP="004B1331">
      <w:pPr>
        <w:tabs>
          <w:tab w:val="left" w:pos="1080"/>
          <w:tab w:val="left" w:pos="6855"/>
          <w:tab w:val="right" w:pos="9435"/>
        </w:tabs>
        <w:jc w:val="both"/>
      </w:pPr>
      <w:r w:rsidRPr="005E2B6C">
        <w:t>13.13. Сторони за  Договором мають статус:</w:t>
      </w:r>
    </w:p>
    <w:p w:rsidR="004B1331" w:rsidRPr="005E2B6C" w:rsidRDefault="004B1331" w:rsidP="004B1331">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4B1331" w:rsidRPr="005E2B6C" w:rsidRDefault="004B1331" w:rsidP="004B1331">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4B1331" w:rsidRPr="005E2B6C" w:rsidRDefault="004B1331" w:rsidP="004B1331">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4B1331" w:rsidRPr="005E2B6C" w:rsidRDefault="004B1331" w:rsidP="004B1331">
      <w:pPr>
        <w:tabs>
          <w:tab w:val="left" w:pos="1080"/>
          <w:tab w:val="left" w:pos="6855"/>
          <w:tab w:val="right" w:pos="9435"/>
        </w:tabs>
        <w:jc w:val="both"/>
      </w:pPr>
      <w:r w:rsidRPr="005E2B6C">
        <w:t xml:space="preserve">Від Покупця – </w:t>
      </w:r>
      <w:proofErr w:type="spellStart"/>
      <w:r>
        <w:t>Живогляд</w:t>
      </w:r>
      <w:proofErr w:type="spellEnd"/>
      <w:r>
        <w:t xml:space="preserve"> Т.В.</w:t>
      </w:r>
      <w:r w:rsidRPr="005E2B6C">
        <w:t xml:space="preserve"> </w:t>
      </w:r>
      <w:proofErr w:type="spellStart"/>
      <w:r w:rsidRPr="005E2B6C">
        <w:t>тел</w:t>
      </w:r>
      <w:proofErr w:type="spellEnd"/>
      <w:r w:rsidRPr="005E2B6C">
        <w:t xml:space="preserve"> : </w:t>
      </w:r>
      <w:r>
        <w:t>(05348) 44840</w:t>
      </w:r>
      <w:r w:rsidRPr="005E2B6C">
        <w:t>;</w:t>
      </w:r>
    </w:p>
    <w:p w:rsidR="004B1331" w:rsidRPr="005E2B6C" w:rsidRDefault="004B1331" w:rsidP="004B1331">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4B1331" w:rsidRPr="005E2B6C" w:rsidRDefault="004B1331" w:rsidP="004B1331">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4B1331" w:rsidRPr="005E2B6C" w:rsidRDefault="004B1331" w:rsidP="004B1331">
      <w:pPr>
        <w:ind w:firstLine="709"/>
        <w:jc w:val="both"/>
      </w:pPr>
    </w:p>
    <w:p w:rsidR="004B1331" w:rsidRPr="005E2B6C" w:rsidRDefault="004B1331" w:rsidP="004B1331">
      <w:pPr>
        <w:jc w:val="center"/>
        <w:rPr>
          <w:b/>
        </w:rPr>
      </w:pPr>
      <w:r w:rsidRPr="005E2B6C">
        <w:rPr>
          <w:b/>
        </w:rPr>
        <w:t>14. Антикорупційне застереження</w:t>
      </w:r>
    </w:p>
    <w:p w:rsidR="004B1331" w:rsidRPr="005E2B6C" w:rsidRDefault="004B1331" w:rsidP="004B1331">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B1331" w:rsidRPr="005E2B6C" w:rsidRDefault="004B1331" w:rsidP="004B1331">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B1331" w:rsidRPr="005E2B6C" w:rsidRDefault="004B1331" w:rsidP="004B1331">
      <w:pPr>
        <w:ind w:firstLine="709"/>
        <w:jc w:val="both"/>
      </w:pPr>
    </w:p>
    <w:p w:rsidR="004B1331" w:rsidRPr="005E2B6C" w:rsidRDefault="004B1331" w:rsidP="004B1331">
      <w:pPr>
        <w:ind w:right="-34" w:firstLine="709"/>
        <w:jc w:val="center"/>
      </w:pPr>
      <w:r w:rsidRPr="005E2B6C">
        <w:rPr>
          <w:b/>
        </w:rPr>
        <w:t>15. Додатки до Договору</w:t>
      </w:r>
    </w:p>
    <w:p w:rsidR="004B1331" w:rsidRPr="005E2B6C" w:rsidRDefault="004B1331" w:rsidP="004B1331">
      <w:pPr>
        <w:ind w:right="-36"/>
        <w:jc w:val="both"/>
      </w:pPr>
      <w:r w:rsidRPr="005E2B6C">
        <w:t xml:space="preserve">15.1. Невід’ємною частиною цього Договору є: </w:t>
      </w:r>
    </w:p>
    <w:p w:rsidR="004B1331" w:rsidRPr="005E2B6C" w:rsidRDefault="004B1331" w:rsidP="004B1331">
      <w:pPr>
        <w:ind w:right="-36"/>
        <w:jc w:val="both"/>
      </w:pPr>
      <w:r w:rsidRPr="005E2B6C">
        <w:t xml:space="preserve"> - Специфікація (Додаток №1).</w:t>
      </w:r>
    </w:p>
    <w:p w:rsidR="004B1331" w:rsidRPr="005E2B6C" w:rsidRDefault="004B1331" w:rsidP="004B1331">
      <w:pPr>
        <w:ind w:right="-36" w:firstLine="709"/>
        <w:jc w:val="both"/>
      </w:pPr>
    </w:p>
    <w:p w:rsidR="004B1331" w:rsidRPr="005E2B6C" w:rsidRDefault="004B1331" w:rsidP="004B1331">
      <w:pPr>
        <w:ind w:right="-36" w:firstLine="567"/>
        <w:jc w:val="center"/>
        <w:rPr>
          <w:b/>
        </w:rPr>
      </w:pPr>
      <w:r w:rsidRPr="005E2B6C">
        <w:rPr>
          <w:b/>
        </w:rPr>
        <w:t>16. Місцезнаходження та банківські реквізити Сторін:</w:t>
      </w:r>
    </w:p>
    <w:p w:rsidR="004B1331" w:rsidRPr="005E2B6C" w:rsidRDefault="004B1331" w:rsidP="004B1331">
      <w:pPr>
        <w:ind w:right="-36" w:firstLine="567"/>
        <w:jc w:val="center"/>
        <w:rPr>
          <w:b/>
        </w:rPr>
      </w:pPr>
    </w:p>
    <w:p w:rsidR="004B1331" w:rsidRPr="005E2B6C" w:rsidRDefault="004B1331" w:rsidP="004B1331">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4B1331" w:rsidRPr="005E2B6C" w:rsidRDefault="004B1331" w:rsidP="004B1331">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B1331" w:rsidRPr="005E2B6C" w:rsidTr="00AA4879">
        <w:tc>
          <w:tcPr>
            <w:tcW w:w="4927" w:type="dxa"/>
          </w:tcPr>
          <w:p w:rsidR="004B1331" w:rsidRPr="005E2B6C" w:rsidRDefault="004B1331" w:rsidP="00AA4879">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4B1331" w:rsidRPr="005E2B6C" w:rsidRDefault="004B1331" w:rsidP="00AA4879">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4B1331" w:rsidRPr="005E2B6C" w:rsidRDefault="004B1331" w:rsidP="00AA4879">
            <w:pPr>
              <w:tabs>
                <w:tab w:val="left" w:pos="6495"/>
              </w:tabs>
              <w:jc w:val="both"/>
              <w:rPr>
                <w:color w:val="000000"/>
                <w:spacing w:val="-2"/>
                <w:lang w:val="uk-UA"/>
              </w:rPr>
            </w:pPr>
            <w:r w:rsidRPr="005E2B6C">
              <w:rPr>
                <w:color w:val="000000"/>
                <w:spacing w:val="-2"/>
                <w:lang w:val="uk-UA"/>
              </w:rPr>
              <w:t xml:space="preserve">ЄДРПОУ 01999626 </w:t>
            </w:r>
          </w:p>
          <w:p w:rsidR="004B1331" w:rsidRPr="00EB3297" w:rsidRDefault="004B1331" w:rsidP="00AA4879">
            <w:pPr>
              <w:tabs>
                <w:tab w:val="left" w:pos="6495"/>
              </w:tabs>
              <w:jc w:val="both"/>
              <w:rPr>
                <w:color w:val="000000"/>
                <w:spacing w:val="-2"/>
                <w:lang w:val="uk-UA"/>
              </w:rPr>
            </w:pPr>
            <w:r w:rsidRPr="005E2B6C">
              <w:rPr>
                <w:color w:val="000000"/>
                <w:spacing w:val="-2"/>
                <w:lang w:val="uk-UA"/>
              </w:rPr>
              <w:t xml:space="preserve">р/р </w:t>
            </w:r>
            <w:r w:rsidRPr="00EB3297">
              <w:rPr>
                <w:color w:val="000000"/>
                <w:spacing w:val="-2"/>
                <w:lang w:val="uk-UA"/>
              </w:rPr>
              <w:t>UA288201720344330001000049353</w:t>
            </w:r>
          </w:p>
          <w:p w:rsidR="004B1331" w:rsidRPr="00EB3297" w:rsidRDefault="004B1331" w:rsidP="00AA4879">
            <w:pPr>
              <w:tabs>
                <w:tab w:val="left" w:pos="6495"/>
              </w:tabs>
              <w:jc w:val="both"/>
              <w:rPr>
                <w:color w:val="000000"/>
                <w:spacing w:val="-2"/>
                <w:lang w:val="uk-UA"/>
              </w:rPr>
            </w:pPr>
            <w:r w:rsidRPr="00EB3297">
              <w:rPr>
                <w:color w:val="000000"/>
                <w:spacing w:val="-2"/>
                <w:lang w:val="uk-UA"/>
              </w:rPr>
              <w:t>УДКСУ у м. Горішніх Плавнях,</w:t>
            </w:r>
          </w:p>
          <w:p w:rsidR="004B1331" w:rsidRDefault="004B1331" w:rsidP="00AA4879">
            <w:pPr>
              <w:tabs>
                <w:tab w:val="left" w:pos="6495"/>
              </w:tabs>
              <w:jc w:val="both"/>
              <w:rPr>
                <w:color w:val="000000"/>
                <w:spacing w:val="-2"/>
                <w:lang w:val="uk-UA"/>
              </w:rPr>
            </w:pPr>
            <w:r w:rsidRPr="00EB3297">
              <w:rPr>
                <w:color w:val="000000"/>
                <w:spacing w:val="-2"/>
                <w:lang w:val="uk-UA"/>
              </w:rPr>
              <w:t xml:space="preserve">Полтавської області </w:t>
            </w:r>
          </w:p>
          <w:p w:rsidR="0059097E" w:rsidRPr="0059097E" w:rsidRDefault="0059097E" w:rsidP="0059097E">
            <w:pPr>
              <w:tabs>
                <w:tab w:val="left" w:pos="6495"/>
              </w:tabs>
              <w:jc w:val="both"/>
              <w:rPr>
                <w:color w:val="000000"/>
                <w:spacing w:val="-2"/>
                <w:lang w:val="uk-UA"/>
              </w:rPr>
            </w:pPr>
            <w:r w:rsidRPr="0059097E">
              <w:rPr>
                <w:color w:val="000000"/>
                <w:spacing w:val="-2"/>
                <w:lang w:val="uk-UA"/>
              </w:rPr>
              <w:t>р/р UA953052990000026009001200212</w:t>
            </w:r>
          </w:p>
          <w:p w:rsidR="0059097E" w:rsidRDefault="0059097E" w:rsidP="0059097E">
            <w:pPr>
              <w:tabs>
                <w:tab w:val="left" w:pos="6495"/>
              </w:tabs>
              <w:jc w:val="both"/>
              <w:rPr>
                <w:color w:val="000000"/>
                <w:spacing w:val="-2"/>
                <w:lang w:val="uk-UA"/>
              </w:rPr>
            </w:pPr>
            <w:r w:rsidRPr="0059097E">
              <w:rPr>
                <w:color w:val="000000"/>
                <w:spacing w:val="-2"/>
                <w:lang w:val="uk-UA"/>
              </w:rPr>
              <w:t>АТ КБ «Приватбанк»</w:t>
            </w:r>
          </w:p>
          <w:p w:rsidR="004B1331" w:rsidRPr="005E2B6C" w:rsidRDefault="004B1331" w:rsidP="00AA4879">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4B1331" w:rsidRDefault="004B1331" w:rsidP="00AA4879">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4" w:history="1">
              <w:r w:rsidRPr="00F463D5">
                <w:rPr>
                  <w:rStyle w:val="a6"/>
                  <w:spacing w:val="-2"/>
                  <w:lang w:val="uk-UA"/>
                </w:rPr>
                <w:t>koms.hosp@gmail.com</w:t>
              </w:r>
            </w:hyperlink>
            <w:r>
              <w:rPr>
                <w:color w:val="000000"/>
                <w:spacing w:val="-2"/>
                <w:lang w:val="uk-UA"/>
              </w:rPr>
              <w:t xml:space="preserve"> </w:t>
            </w:r>
          </w:p>
          <w:p w:rsidR="004B1331" w:rsidRDefault="004B1331" w:rsidP="00AA4879">
            <w:pPr>
              <w:tabs>
                <w:tab w:val="left" w:pos="6495"/>
              </w:tabs>
              <w:jc w:val="both"/>
              <w:rPr>
                <w:color w:val="000000"/>
                <w:spacing w:val="-2"/>
                <w:lang w:val="uk-UA"/>
              </w:rPr>
            </w:pPr>
          </w:p>
          <w:p w:rsidR="004B1331" w:rsidRPr="005E2B6C" w:rsidRDefault="004B1331" w:rsidP="00AA4879">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4B1331" w:rsidRPr="005E2B6C" w:rsidRDefault="004B1331" w:rsidP="00AA4879">
            <w:pPr>
              <w:tabs>
                <w:tab w:val="left" w:pos="6495"/>
              </w:tabs>
              <w:jc w:val="both"/>
              <w:rPr>
                <w:b/>
                <w:color w:val="000000"/>
                <w:spacing w:val="-2"/>
                <w:lang w:val="uk-UA"/>
              </w:rPr>
            </w:pPr>
          </w:p>
          <w:p w:rsidR="004B1331" w:rsidRPr="005E2B6C" w:rsidRDefault="004B1331" w:rsidP="00AA4879">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4B1331" w:rsidRPr="005E2B6C" w:rsidRDefault="004B1331" w:rsidP="00AA4879">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4B1331" w:rsidRPr="005E2B6C" w:rsidTr="00AA4879">
        <w:tc>
          <w:tcPr>
            <w:tcW w:w="4749" w:type="dxa"/>
            <w:shd w:val="clear" w:color="auto" w:fill="auto"/>
          </w:tcPr>
          <w:p w:rsidR="004B1331" w:rsidRPr="005E2B6C" w:rsidRDefault="004B1331" w:rsidP="00AA4879">
            <w:pPr>
              <w:snapToGrid w:val="0"/>
            </w:pPr>
          </w:p>
          <w:p w:rsidR="004B1331" w:rsidRPr="005E2B6C" w:rsidRDefault="004B1331" w:rsidP="00AA4879">
            <w:pPr>
              <w:snapToGrid w:val="0"/>
            </w:pPr>
          </w:p>
          <w:p w:rsidR="004B1331" w:rsidRPr="005E2B6C" w:rsidRDefault="004B1331" w:rsidP="00AA4879">
            <w:pPr>
              <w:snapToGrid w:val="0"/>
            </w:pPr>
          </w:p>
          <w:p w:rsidR="004B1331" w:rsidRPr="005E2B6C" w:rsidRDefault="004B1331" w:rsidP="00AA4879">
            <w:pPr>
              <w:snapToGrid w:val="0"/>
            </w:pPr>
          </w:p>
          <w:p w:rsidR="004B1331" w:rsidRPr="005E2B6C" w:rsidRDefault="004B1331" w:rsidP="00AA4879">
            <w:pPr>
              <w:snapToGrid w:val="0"/>
            </w:pPr>
          </w:p>
          <w:p w:rsidR="004B1331" w:rsidRPr="005E2B6C" w:rsidRDefault="004B1331" w:rsidP="00AA4879">
            <w:pPr>
              <w:snapToGrid w:val="0"/>
            </w:pPr>
          </w:p>
          <w:p w:rsidR="004B1331" w:rsidRPr="005E2B6C" w:rsidRDefault="004B1331" w:rsidP="00AA4879">
            <w:pPr>
              <w:snapToGrid w:val="0"/>
            </w:pPr>
          </w:p>
        </w:tc>
        <w:tc>
          <w:tcPr>
            <w:tcW w:w="4822" w:type="dxa"/>
            <w:shd w:val="clear" w:color="auto" w:fill="auto"/>
          </w:tcPr>
          <w:p w:rsidR="004B1331" w:rsidRPr="005E2B6C" w:rsidRDefault="004B1331" w:rsidP="00AA4879">
            <w:pPr>
              <w:rPr>
                <w:b/>
                <w:i/>
                <w:iCs/>
              </w:rPr>
            </w:pPr>
          </w:p>
          <w:p w:rsidR="004B1331" w:rsidRDefault="004B1331" w:rsidP="00AA4879">
            <w:pPr>
              <w:rPr>
                <w:b/>
                <w:i/>
                <w:iCs/>
              </w:rPr>
            </w:pPr>
          </w:p>
          <w:p w:rsidR="00020C39" w:rsidRDefault="00020C39" w:rsidP="00AA4879">
            <w:pPr>
              <w:rPr>
                <w:b/>
                <w:i/>
                <w:iCs/>
              </w:rPr>
            </w:pPr>
          </w:p>
          <w:p w:rsidR="00020C39" w:rsidRDefault="00020C39"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Default="004B1331" w:rsidP="00AA4879">
            <w:pPr>
              <w:rPr>
                <w:b/>
                <w:i/>
                <w:iCs/>
              </w:rPr>
            </w:pPr>
          </w:p>
          <w:p w:rsidR="004B1331" w:rsidRPr="005E2B6C" w:rsidRDefault="004B1331" w:rsidP="00AA4879">
            <w:pPr>
              <w:rPr>
                <w:b/>
                <w:i/>
                <w:iCs/>
              </w:rPr>
            </w:pPr>
          </w:p>
          <w:p w:rsidR="0059097E" w:rsidRDefault="004B1331" w:rsidP="00AA4879">
            <w:pPr>
              <w:rPr>
                <w:b/>
                <w:i/>
                <w:iCs/>
              </w:rPr>
            </w:pPr>
            <w:r w:rsidRPr="005E2B6C">
              <w:rPr>
                <w:b/>
                <w:i/>
                <w:iCs/>
              </w:rPr>
              <w:t xml:space="preserve">                             </w:t>
            </w: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59097E" w:rsidRDefault="0059097E" w:rsidP="00AA4879">
            <w:pPr>
              <w:rPr>
                <w:b/>
                <w:i/>
                <w:iCs/>
              </w:rPr>
            </w:pPr>
          </w:p>
          <w:p w:rsidR="004B1331" w:rsidRPr="005E2B6C" w:rsidRDefault="004B1331" w:rsidP="00AA4879">
            <w:pPr>
              <w:rPr>
                <w:b/>
                <w:i/>
                <w:iCs/>
              </w:rPr>
            </w:pPr>
            <w:r w:rsidRPr="005E2B6C">
              <w:rPr>
                <w:b/>
                <w:i/>
                <w:iCs/>
              </w:rPr>
              <w:t xml:space="preserve">   Додаток № 1</w:t>
            </w:r>
          </w:p>
          <w:p w:rsidR="004B1331" w:rsidRPr="005E2B6C" w:rsidRDefault="004B1331" w:rsidP="00AA4879">
            <w:pPr>
              <w:rPr>
                <w:b/>
                <w:i/>
                <w:iCs/>
              </w:rPr>
            </w:pPr>
          </w:p>
          <w:p w:rsidR="004B1331" w:rsidRPr="005E2B6C" w:rsidRDefault="004B1331" w:rsidP="00AA4879">
            <w:pPr>
              <w:rPr>
                <w:b/>
                <w:i/>
                <w:iCs/>
              </w:rPr>
            </w:pPr>
          </w:p>
          <w:p w:rsidR="004B1331" w:rsidRPr="005E2B6C" w:rsidRDefault="004B1331" w:rsidP="00AA4879">
            <w:pPr>
              <w:rPr>
                <w:i/>
                <w:iCs/>
              </w:rPr>
            </w:pPr>
            <w:r>
              <w:rPr>
                <w:b/>
                <w:i/>
                <w:iCs/>
              </w:rPr>
              <w:t xml:space="preserve">                           </w:t>
            </w:r>
            <w:r w:rsidRPr="005E2B6C">
              <w:rPr>
                <w:b/>
                <w:i/>
                <w:iCs/>
              </w:rPr>
              <w:t>Специфікація</w:t>
            </w:r>
          </w:p>
        </w:tc>
      </w:tr>
      <w:tr w:rsidR="004B1331" w:rsidRPr="005E2B6C" w:rsidTr="00AA4879">
        <w:tc>
          <w:tcPr>
            <w:tcW w:w="4749" w:type="dxa"/>
            <w:shd w:val="clear" w:color="auto" w:fill="auto"/>
          </w:tcPr>
          <w:p w:rsidR="004B1331" w:rsidRPr="005E2B6C" w:rsidRDefault="004B1331" w:rsidP="00AA4879">
            <w:pPr>
              <w:snapToGrid w:val="0"/>
            </w:pPr>
          </w:p>
        </w:tc>
        <w:tc>
          <w:tcPr>
            <w:tcW w:w="4822" w:type="dxa"/>
            <w:shd w:val="clear" w:color="auto" w:fill="auto"/>
          </w:tcPr>
          <w:p w:rsidR="004B1331" w:rsidRPr="005E2B6C" w:rsidRDefault="004B1331" w:rsidP="00AA4879">
            <w:pPr>
              <w:rPr>
                <w:i/>
                <w:iCs/>
              </w:rPr>
            </w:pPr>
            <w:r w:rsidRPr="005E2B6C">
              <w:rPr>
                <w:i/>
                <w:iCs/>
              </w:rPr>
              <w:t>до Договору №____від «__»_____20___ р.</w:t>
            </w:r>
          </w:p>
        </w:tc>
      </w:tr>
      <w:tr w:rsidR="0059097E" w:rsidRPr="005E2B6C" w:rsidTr="00AA4879">
        <w:tc>
          <w:tcPr>
            <w:tcW w:w="4749" w:type="dxa"/>
            <w:shd w:val="clear" w:color="auto" w:fill="auto"/>
          </w:tcPr>
          <w:p w:rsidR="0059097E" w:rsidRPr="005E2B6C" w:rsidRDefault="0059097E" w:rsidP="00AA4879">
            <w:pPr>
              <w:snapToGrid w:val="0"/>
            </w:pPr>
          </w:p>
        </w:tc>
        <w:tc>
          <w:tcPr>
            <w:tcW w:w="4822" w:type="dxa"/>
            <w:shd w:val="clear" w:color="auto" w:fill="auto"/>
          </w:tcPr>
          <w:p w:rsidR="0059097E" w:rsidRPr="005E2B6C" w:rsidRDefault="0059097E" w:rsidP="00AA4879">
            <w:pPr>
              <w:rPr>
                <w:i/>
                <w:iCs/>
              </w:rPr>
            </w:pPr>
          </w:p>
        </w:tc>
      </w:tr>
    </w:tbl>
    <w:p w:rsidR="004B1331" w:rsidRDefault="004B1331" w:rsidP="004B1331">
      <w:r w:rsidRPr="005E2B6C">
        <w:t>м. Горішні Плавні</w:t>
      </w:r>
      <w:r w:rsidRPr="005E2B6C">
        <w:tab/>
      </w:r>
      <w:r w:rsidRPr="005E2B6C">
        <w:tab/>
      </w:r>
      <w:r w:rsidRPr="005E2B6C">
        <w:tab/>
      </w:r>
      <w:r w:rsidRPr="005E2B6C">
        <w:tab/>
      </w:r>
      <w:r w:rsidRPr="005E2B6C">
        <w:tab/>
      </w:r>
      <w:r w:rsidRPr="005E2B6C">
        <w:tab/>
        <w:t>«____» ___________ 20___ р.</w:t>
      </w:r>
    </w:p>
    <w:p w:rsidR="004B1331" w:rsidRDefault="004B1331" w:rsidP="004B1331"/>
    <w:p w:rsidR="004B1331" w:rsidRDefault="004B1331" w:rsidP="004B1331"/>
    <w:tbl>
      <w:tblPr>
        <w:tblW w:w="10456" w:type="dxa"/>
        <w:tblLook w:val="04A0" w:firstRow="1" w:lastRow="0" w:firstColumn="1" w:lastColumn="0" w:noHBand="0" w:noVBand="1"/>
      </w:tblPr>
      <w:tblGrid>
        <w:gridCol w:w="583"/>
        <w:gridCol w:w="4045"/>
        <w:gridCol w:w="1208"/>
        <w:gridCol w:w="1275"/>
        <w:gridCol w:w="1486"/>
        <w:gridCol w:w="1859"/>
      </w:tblGrid>
      <w:tr w:rsidR="004B1331" w:rsidRPr="00DD5AD1" w:rsidTr="00AA4879">
        <w:trPr>
          <w:trHeight w:val="706"/>
        </w:trPr>
        <w:tc>
          <w:tcPr>
            <w:tcW w:w="583" w:type="dxa"/>
            <w:tcBorders>
              <w:top w:val="single" w:sz="8" w:space="0" w:color="auto"/>
              <w:left w:val="single" w:sz="8" w:space="0" w:color="auto"/>
              <w:bottom w:val="single" w:sz="8" w:space="0" w:color="auto"/>
              <w:right w:val="nil"/>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w:t>
            </w:r>
          </w:p>
        </w:tc>
        <w:tc>
          <w:tcPr>
            <w:tcW w:w="4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Кількість</w:t>
            </w:r>
          </w:p>
        </w:tc>
        <w:tc>
          <w:tcPr>
            <w:tcW w:w="1486" w:type="dxa"/>
            <w:tcBorders>
              <w:top w:val="single" w:sz="8" w:space="0" w:color="auto"/>
              <w:left w:val="nil"/>
              <w:bottom w:val="single" w:sz="8" w:space="0" w:color="auto"/>
              <w:right w:val="nil"/>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 xml:space="preserve">Ціна за одиницю, </w:t>
            </w:r>
            <w:r>
              <w:rPr>
                <w:b/>
                <w:bCs/>
                <w:color w:val="000000"/>
                <w:lang w:eastAsia="ru-RU"/>
              </w:rPr>
              <w:t>з/</w:t>
            </w:r>
            <w:r w:rsidRPr="00DD5AD1">
              <w:rPr>
                <w:b/>
                <w:bCs/>
                <w:color w:val="000000"/>
                <w:lang w:eastAsia="ru-RU"/>
              </w:rPr>
              <w:t xml:space="preserve">без ПДВ, грн. </w:t>
            </w:r>
          </w:p>
        </w:tc>
        <w:tc>
          <w:tcPr>
            <w:tcW w:w="18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1331" w:rsidRPr="00DD5AD1" w:rsidRDefault="004B1331" w:rsidP="00AA4879">
            <w:pPr>
              <w:suppressAutoHyphens w:val="0"/>
              <w:jc w:val="center"/>
              <w:rPr>
                <w:b/>
                <w:bCs/>
                <w:color w:val="000000"/>
                <w:lang w:val="ru-RU" w:eastAsia="ru-RU"/>
              </w:rPr>
            </w:pPr>
            <w:r w:rsidRPr="00DD5AD1">
              <w:rPr>
                <w:b/>
                <w:bCs/>
                <w:color w:val="000000"/>
                <w:lang w:eastAsia="ru-RU"/>
              </w:rPr>
              <w:t xml:space="preserve">Загальна вартість, </w:t>
            </w:r>
            <w:r>
              <w:rPr>
                <w:b/>
                <w:bCs/>
                <w:color w:val="000000"/>
                <w:lang w:eastAsia="ru-RU"/>
              </w:rPr>
              <w:t>з/</w:t>
            </w:r>
            <w:r w:rsidRPr="00DD5AD1">
              <w:rPr>
                <w:b/>
                <w:bCs/>
                <w:color w:val="000000"/>
                <w:lang w:eastAsia="ru-RU"/>
              </w:rPr>
              <w:t>без ПДВ, грн</w:t>
            </w:r>
          </w:p>
        </w:tc>
      </w:tr>
      <w:tr w:rsidR="00020C39" w:rsidRPr="00DD5AD1" w:rsidTr="00CD092F">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020C39" w:rsidRPr="00DD5AD1" w:rsidRDefault="00020C39" w:rsidP="00020C39">
            <w:pPr>
              <w:suppressAutoHyphens w:val="0"/>
              <w:jc w:val="center"/>
              <w:rPr>
                <w:color w:val="000000"/>
                <w:lang w:val="ru-RU" w:eastAsia="ru-RU"/>
              </w:rPr>
            </w:pPr>
            <w:r w:rsidRPr="00DD5AD1">
              <w:rPr>
                <w:color w:val="000000"/>
                <w:lang w:val="ru-RU" w:eastAsia="ru-RU"/>
              </w:rPr>
              <w:t>1</w:t>
            </w:r>
          </w:p>
        </w:tc>
        <w:tc>
          <w:tcPr>
            <w:tcW w:w="4045" w:type="dxa"/>
            <w:tcBorders>
              <w:top w:val="nil"/>
              <w:left w:val="single" w:sz="8" w:space="0" w:color="auto"/>
              <w:bottom w:val="single" w:sz="4" w:space="0" w:color="auto"/>
              <w:right w:val="single" w:sz="8" w:space="0" w:color="auto"/>
            </w:tcBorders>
            <w:shd w:val="clear" w:color="auto" w:fill="auto"/>
            <w:vAlign w:val="bottom"/>
          </w:tcPr>
          <w:p w:rsidR="00020C39" w:rsidRPr="00AB5D8D" w:rsidRDefault="00E37008" w:rsidP="00E37008">
            <w:pPr>
              <w:suppressAutoHyphens w:val="0"/>
              <w:rPr>
                <w:rFonts w:ascii="Cambria" w:hAnsi="Cambria" w:cs="Calibri"/>
                <w:color w:val="000000" w:themeColor="text1"/>
                <w:sz w:val="22"/>
                <w:szCs w:val="22"/>
                <w:lang w:eastAsia="uk-UA"/>
              </w:rPr>
            </w:pPr>
            <w:r w:rsidRPr="00E37008">
              <w:rPr>
                <w:rFonts w:ascii="Cambria" w:hAnsi="Cambria" w:cs="Calibri"/>
                <w:color w:val="000000" w:themeColor="text1"/>
                <w:sz w:val="22"/>
                <w:szCs w:val="22"/>
              </w:rPr>
              <w:t>D1NB10</w:t>
            </w:r>
            <w:r w:rsidRPr="00E37008">
              <w:rPr>
                <w:rFonts w:ascii="Cambria" w:hAnsi="Cambria" w:cs="Calibri"/>
                <w:color w:val="000000" w:themeColor="text1"/>
                <w:sz w:val="22"/>
                <w:szCs w:val="22"/>
              </w:rPr>
              <w:t>Калоприймач</w:t>
            </w:r>
            <w:r>
              <w:rPr>
                <w:rFonts w:ascii="Cambria" w:hAnsi="Cambria" w:cs="Calibri"/>
                <w:color w:val="000000" w:themeColor="text1"/>
                <w:sz w:val="22"/>
                <w:szCs w:val="22"/>
              </w:rPr>
              <w:t>,</w:t>
            </w:r>
            <w:r w:rsidRPr="00E37008">
              <w:rPr>
                <w:rFonts w:ascii="Cambria" w:hAnsi="Cambria" w:cs="Calibri"/>
                <w:color w:val="000000" w:themeColor="text1"/>
                <w:sz w:val="22"/>
                <w:szCs w:val="22"/>
              </w:rPr>
              <w:t xml:space="preserve"> непроз</w:t>
            </w:r>
            <w:r>
              <w:rPr>
                <w:rFonts w:ascii="Cambria" w:hAnsi="Cambria" w:cs="Calibri"/>
                <w:color w:val="000000" w:themeColor="text1"/>
                <w:sz w:val="22"/>
                <w:szCs w:val="22"/>
              </w:rPr>
              <w:t>орий, однокомпонентний, відкритий, з фільтром, з оглядовим вікном, розмір для вирізання</w:t>
            </w:r>
            <w:r w:rsidRPr="00E37008">
              <w:rPr>
                <w:rFonts w:ascii="Cambria" w:hAnsi="Cambria" w:cs="Calibri"/>
                <w:color w:val="000000" w:themeColor="text1"/>
                <w:sz w:val="22"/>
                <w:szCs w:val="22"/>
              </w:rPr>
              <w:t xml:space="preserve"> 10-80мм </w:t>
            </w:r>
            <w:proofErr w:type="spellStart"/>
            <w:r w:rsidRPr="00E37008">
              <w:rPr>
                <w:rFonts w:ascii="Cambria" w:hAnsi="Cambria" w:cs="Calibri"/>
                <w:color w:val="000000" w:themeColor="text1"/>
                <w:sz w:val="22"/>
                <w:szCs w:val="22"/>
              </w:rPr>
              <w:t>Oxmed</w:t>
            </w:r>
            <w:proofErr w:type="spellEnd"/>
            <w:r w:rsidRPr="00E37008">
              <w:rPr>
                <w:rFonts w:ascii="Cambria" w:hAnsi="Cambria" w:cs="Calibri"/>
                <w:color w:val="000000" w:themeColor="text1"/>
                <w:sz w:val="22"/>
                <w:szCs w:val="22"/>
              </w:rPr>
              <w:t xml:space="preserve"> №20 </w:t>
            </w:r>
            <w:r w:rsidR="00020C39" w:rsidRPr="00AB5D8D">
              <w:rPr>
                <w:rFonts w:ascii="Cambria" w:hAnsi="Cambria" w:cs="Calibri"/>
                <w:color w:val="000000" w:themeColor="text1"/>
                <w:sz w:val="22"/>
                <w:szCs w:val="22"/>
              </w:rPr>
              <w:t>(НК47038)</w:t>
            </w:r>
          </w:p>
        </w:tc>
        <w:tc>
          <w:tcPr>
            <w:tcW w:w="1208" w:type="dxa"/>
            <w:tcBorders>
              <w:top w:val="nil"/>
              <w:left w:val="nil"/>
              <w:bottom w:val="single" w:sz="4" w:space="0" w:color="auto"/>
              <w:right w:val="nil"/>
            </w:tcBorders>
            <w:shd w:val="clear" w:color="auto" w:fill="auto"/>
            <w:vAlign w:val="center"/>
          </w:tcPr>
          <w:p w:rsidR="00020C39" w:rsidRDefault="00AB5D8D" w:rsidP="00AB5D8D">
            <w:pPr>
              <w:jc w:val="center"/>
              <w:rPr>
                <w:rFonts w:ascii="Cambria" w:hAnsi="Cambria" w:cs="Calibri"/>
                <w:sz w:val="22"/>
                <w:szCs w:val="22"/>
              </w:rPr>
            </w:pPr>
            <w:proofErr w:type="spellStart"/>
            <w:r>
              <w:rPr>
                <w:rFonts w:ascii="Cambria" w:hAnsi="Cambria" w:cs="Calibri"/>
                <w:sz w:val="22"/>
                <w:szCs w:val="22"/>
              </w:rPr>
              <w:t>уп</w:t>
            </w:r>
            <w:proofErr w:type="spellEnd"/>
            <w:r>
              <w:rPr>
                <w:rFonts w:ascii="Cambria" w:hAnsi="Cambria" w:cs="Calibri"/>
                <w:sz w:val="22"/>
                <w:szCs w:val="22"/>
              </w:rPr>
              <w:t>.</w:t>
            </w:r>
          </w:p>
        </w:tc>
        <w:tc>
          <w:tcPr>
            <w:tcW w:w="1275" w:type="dxa"/>
            <w:tcBorders>
              <w:top w:val="nil"/>
              <w:left w:val="single" w:sz="8" w:space="0" w:color="auto"/>
              <w:bottom w:val="single" w:sz="4" w:space="0" w:color="auto"/>
              <w:right w:val="single" w:sz="8" w:space="0" w:color="auto"/>
            </w:tcBorders>
            <w:shd w:val="clear" w:color="auto" w:fill="auto"/>
            <w:vAlign w:val="center"/>
          </w:tcPr>
          <w:p w:rsidR="00020C39" w:rsidRDefault="00AB5D8D" w:rsidP="00020C39">
            <w:pPr>
              <w:jc w:val="center"/>
              <w:rPr>
                <w:rFonts w:ascii="Cambria" w:hAnsi="Cambria" w:cs="Calibri"/>
                <w:sz w:val="22"/>
                <w:szCs w:val="22"/>
              </w:rPr>
            </w:pPr>
            <w:r>
              <w:rPr>
                <w:rFonts w:ascii="Cambria" w:hAnsi="Cambria" w:cs="Calibri"/>
                <w:sz w:val="22"/>
                <w:szCs w:val="22"/>
              </w:rPr>
              <w:t>36</w:t>
            </w:r>
          </w:p>
        </w:tc>
        <w:tc>
          <w:tcPr>
            <w:tcW w:w="1486" w:type="dxa"/>
            <w:tcBorders>
              <w:top w:val="nil"/>
              <w:left w:val="nil"/>
              <w:bottom w:val="single" w:sz="4" w:space="0" w:color="auto"/>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2</w:t>
            </w:r>
          </w:p>
        </w:tc>
        <w:tc>
          <w:tcPr>
            <w:tcW w:w="4045" w:type="dxa"/>
            <w:tcBorders>
              <w:top w:val="single" w:sz="4" w:space="0" w:color="auto"/>
              <w:left w:val="single" w:sz="8" w:space="0" w:color="auto"/>
              <w:bottom w:val="nil"/>
              <w:right w:val="single" w:sz="8" w:space="0" w:color="auto"/>
            </w:tcBorders>
            <w:shd w:val="clear" w:color="auto" w:fill="auto"/>
            <w:vAlign w:val="center"/>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22030/22030 Зовнішній </w:t>
            </w:r>
            <w:proofErr w:type="spellStart"/>
            <w:r w:rsidRPr="00AB5D8D">
              <w:rPr>
                <w:rFonts w:ascii="Cambria" w:hAnsi="Cambria" w:cs="Calibri"/>
                <w:color w:val="000000" w:themeColor="text1"/>
                <w:sz w:val="22"/>
                <w:szCs w:val="22"/>
              </w:rPr>
              <w:t>уропрезерватив</w:t>
            </w:r>
            <w:proofErr w:type="spellEnd"/>
            <w:r w:rsidRPr="00AB5D8D">
              <w:rPr>
                <w:rFonts w:ascii="Cambria" w:hAnsi="Cambria" w:cs="Calibri"/>
                <w:color w:val="000000" w:themeColor="text1"/>
                <w:sz w:val="22"/>
                <w:szCs w:val="22"/>
              </w:rPr>
              <w:t xml:space="preserve"> </w:t>
            </w:r>
            <w:proofErr w:type="spellStart"/>
            <w:r w:rsidRPr="00AB5D8D">
              <w:rPr>
                <w:rFonts w:ascii="Cambria" w:hAnsi="Cambria" w:cs="Calibri"/>
                <w:color w:val="000000" w:themeColor="text1"/>
                <w:sz w:val="22"/>
                <w:szCs w:val="22"/>
              </w:rPr>
              <w:t>Conveen®Optima</w:t>
            </w:r>
            <w:proofErr w:type="spellEnd"/>
            <w:r w:rsidRPr="00AB5D8D">
              <w:rPr>
                <w:rFonts w:ascii="Cambria" w:hAnsi="Cambria" w:cs="Calibri"/>
                <w:color w:val="000000" w:themeColor="text1"/>
                <w:sz w:val="22"/>
                <w:szCs w:val="22"/>
              </w:rPr>
              <w:t>/</w:t>
            </w:r>
            <w:proofErr w:type="spellStart"/>
            <w:r w:rsidRPr="00AB5D8D">
              <w:rPr>
                <w:rFonts w:ascii="Cambria" w:hAnsi="Cambria" w:cs="Calibri"/>
                <w:color w:val="000000" w:themeColor="text1"/>
                <w:sz w:val="22"/>
                <w:szCs w:val="22"/>
              </w:rPr>
              <w:t>Конвін</w:t>
            </w:r>
            <w:proofErr w:type="spellEnd"/>
            <w:r w:rsidRPr="00AB5D8D">
              <w:rPr>
                <w:rFonts w:ascii="Cambria" w:hAnsi="Cambria" w:cs="Calibri"/>
                <w:color w:val="000000" w:themeColor="text1"/>
                <w:sz w:val="22"/>
                <w:szCs w:val="22"/>
              </w:rPr>
              <w:t xml:space="preserve"> </w:t>
            </w:r>
            <w:proofErr w:type="spellStart"/>
            <w:r w:rsidRPr="00AB5D8D">
              <w:rPr>
                <w:rFonts w:ascii="Cambria" w:hAnsi="Cambria" w:cs="Calibri"/>
                <w:color w:val="000000" w:themeColor="text1"/>
                <w:sz w:val="22"/>
                <w:szCs w:val="22"/>
              </w:rPr>
              <w:t>Оптіма</w:t>
            </w:r>
            <w:proofErr w:type="spellEnd"/>
            <w:r w:rsidRPr="00AB5D8D">
              <w:rPr>
                <w:rFonts w:ascii="Cambria" w:hAnsi="Cambria" w:cs="Calibri"/>
                <w:color w:val="000000" w:themeColor="text1"/>
                <w:sz w:val="22"/>
                <w:szCs w:val="22"/>
              </w:rPr>
              <w:t xml:space="preserve">, самоклеючий, без латексу, </w:t>
            </w:r>
            <w:r w:rsidR="00286361" w:rsidRPr="00286361">
              <w:rPr>
                <w:rFonts w:ascii="Cambria" w:hAnsi="Cambria" w:cs="Calibri"/>
                <w:color w:val="000000" w:themeColor="text1"/>
              </w:rPr>
              <w:t>⌀</w:t>
            </w:r>
            <w:r w:rsidRPr="00AB5D8D">
              <w:rPr>
                <w:rFonts w:ascii="Cambria" w:hAnsi="Cambria" w:cs="Calibri"/>
                <w:color w:val="000000" w:themeColor="text1"/>
                <w:sz w:val="22"/>
                <w:szCs w:val="22"/>
              </w:rPr>
              <w:t xml:space="preserve"> 30 mm(мм) , №30 (НК62905)</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sz w:val="22"/>
                <w:szCs w:val="22"/>
              </w:rPr>
            </w:pPr>
            <w:proofErr w:type="spellStart"/>
            <w:r>
              <w:rPr>
                <w:rFonts w:ascii="Cambria" w:hAnsi="Cambria" w:cs="Calibri"/>
                <w:sz w:val="22"/>
                <w:szCs w:val="22"/>
              </w:rPr>
              <w:t>уп</w:t>
            </w:r>
            <w:proofErr w:type="spellEnd"/>
            <w:r>
              <w:rPr>
                <w:rFonts w:ascii="Cambria" w:hAnsi="Cambria" w:cs="Calibri"/>
                <w:sz w:val="22"/>
                <w:szCs w:val="22"/>
              </w:rPr>
              <w:t>.</w:t>
            </w: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sz w:val="22"/>
                <w:szCs w:val="22"/>
              </w:rPr>
            </w:pPr>
            <w:r>
              <w:rPr>
                <w:rFonts w:ascii="Cambria" w:hAnsi="Cambria" w:cs="Calibri"/>
                <w:sz w:val="22"/>
                <w:szCs w:val="22"/>
              </w:rPr>
              <w:t>8</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3</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05167/5167 Сечоприймач </w:t>
            </w:r>
            <w:proofErr w:type="spellStart"/>
            <w:r w:rsidRPr="00AB5D8D">
              <w:rPr>
                <w:rFonts w:ascii="Cambria" w:hAnsi="Cambria" w:cs="Calibri"/>
                <w:color w:val="000000" w:themeColor="text1"/>
                <w:sz w:val="22"/>
                <w:szCs w:val="22"/>
              </w:rPr>
              <w:t>Conveen</w:t>
            </w:r>
            <w:proofErr w:type="spellEnd"/>
            <w:r w:rsidRPr="00AB5D8D">
              <w:rPr>
                <w:rFonts w:ascii="Cambria" w:hAnsi="Cambria" w:cs="Calibri"/>
                <w:color w:val="000000" w:themeColor="text1"/>
                <w:sz w:val="22"/>
                <w:szCs w:val="22"/>
              </w:rPr>
              <w:t>®/</w:t>
            </w:r>
            <w:proofErr w:type="spellStart"/>
            <w:r w:rsidRPr="00AB5D8D">
              <w:rPr>
                <w:rFonts w:ascii="Cambria" w:hAnsi="Cambria" w:cs="Calibri"/>
                <w:color w:val="000000" w:themeColor="text1"/>
                <w:sz w:val="22"/>
                <w:szCs w:val="22"/>
              </w:rPr>
              <w:t>Конвін</w:t>
            </w:r>
            <w:proofErr w:type="spellEnd"/>
            <w:r w:rsidRPr="00AB5D8D">
              <w:rPr>
                <w:rFonts w:ascii="Cambria" w:hAnsi="Cambria" w:cs="Calibri"/>
                <w:color w:val="000000" w:themeColor="text1"/>
                <w:sz w:val="22"/>
                <w:szCs w:val="22"/>
              </w:rPr>
              <w:t xml:space="preserve"> </w:t>
            </w:r>
            <w:proofErr w:type="spellStart"/>
            <w:r w:rsidRPr="00AB5D8D">
              <w:rPr>
                <w:rFonts w:ascii="Cambria" w:hAnsi="Cambria" w:cs="Calibri"/>
                <w:color w:val="000000" w:themeColor="text1"/>
                <w:sz w:val="22"/>
                <w:szCs w:val="22"/>
              </w:rPr>
              <w:t>Секюріті</w:t>
            </w:r>
            <w:proofErr w:type="spellEnd"/>
            <w:r w:rsidRPr="00AB5D8D">
              <w:rPr>
                <w:rFonts w:ascii="Cambria" w:hAnsi="Cambria" w:cs="Calibri"/>
                <w:color w:val="000000" w:themeColor="text1"/>
                <w:sz w:val="22"/>
                <w:szCs w:val="22"/>
              </w:rPr>
              <w:t>+ № 10, ножний, 750мл, 50 см – дренажна трубка (НК58924)</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sz w:val="22"/>
                <w:szCs w:val="22"/>
              </w:rPr>
            </w:pPr>
            <w:proofErr w:type="spellStart"/>
            <w:r>
              <w:rPr>
                <w:rFonts w:ascii="Cambria" w:hAnsi="Cambria" w:cs="Calibri"/>
                <w:sz w:val="22"/>
                <w:szCs w:val="22"/>
              </w:rPr>
              <w:t>уп</w:t>
            </w:r>
            <w:proofErr w:type="spellEnd"/>
            <w:r>
              <w:rPr>
                <w:rFonts w:ascii="Cambria" w:hAnsi="Cambria" w:cs="Calibri"/>
                <w:sz w:val="22"/>
                <w:szCs w:val="22"/>
              </w:rPr>
              <w:t>.</w:t>
            </w: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sz w:val="22"/>
                <w:szCs w:val="22"/>
              </w:rPr>
            </w:pPr>
            <w:r>
              <w:rPr>
                <w:rFonts w:ascii="Cambria" w:hAnsi="Cambria" w:cs="Calibri"/>
                <w:sz w:val="22"/>
                <w:szCs w:val="22"/>
              </w:rPr>
              <w:t>24</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4</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2650 Паста </w:t>
            </w:r>
            <w:proofErr w:type="spellStart"/>
            <w:r w:rsidRPr="00AB5D8D">
              <w:rPr>
                <w:rFonts w:ascii="Cambria" w:hAnsi="Cambria" w:cs="Calibri"/>
                <w:color w:val="000000" w:themeColor="text1"/>
                <w:sz w:val="22"/>
                <w:szCs w:val="22"/>
              </w:rPr>
              <w:t>Coloplast</w:t>
            </w:r>
            <w:proofErr w:type="spellEnd"/>
            <w:r w:rsidRPr="00AB5D8D">
              <w:rPr>
                <w:rFonts w:ascii="Cambria" w:hAnsi="Cambria" w:cs="Calibri"/>
                <w:color w:val="000000" w:themeColor="text1"/>
                <w:sz w:val="22"/>
                <w:szCs w:val="22"/>
              </w:rPr>
              <w:t xml:space="preserve"> туб. 60г N1 (НК46207)</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6</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5</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12020 Захисний </w:t>
            </w:r>
            <w:proofErr w:type="spellStart"/>
            <w:r w:rsidRPr="00AB5D8D">
              <w:rPr>
                <w:rFonts w:ascii="Cambria" w:hAnsi="Cambria" w:cs="Calibri"/>
                <w:color w:val="000000" w:themeColor="text1"/>
                <w:sz w:val="22"/>
                <w:szCs w:val="22"/>
              </w:rPr>
              <w:t>спрей</w:t>
            </w:r>
            <w:proofErr w:type="spellEnd"/>
            <w:r w:rsidRPr="00AB5D8D">
              <w:rPr>
                <w:rFonts w:ascii="Cambria" w:hAnsi="Cambria" w:cs="Calibri"/>
                <w:color w:val="000000" w:themeColor="text1"/>
                <w:sz w:val="22"/>
                <w:szCs w:val="22"/>
              </w:rPr>
              <w:t xml:space="preserve"> для шкіри </w:t>
            </w:r>
            <w:proofErr w:type="spellStart"/>
            <w:r w:rsidRPr="00AB5D8D">
              <w:rPr>
                <w:rFonts w:ascii="Cambria" w:hAnsi="Cambria" w:cs="Calibri"/>
                <w:color w:val="000000" w:themeColor="text1"/>
                <w:sz w:val="22"/>
                <w:szCs w:val="22"/>
              </w:rPr>
              <w:t>Brava</w:t>
            </w:r>
            <w:proofErr w:type="spellEnd"/>
            <w:r w:rsidRPr="00AB5D8D">
              <w:rPr>
                <w:rFonts w:ascii="Cambria" w:hAnsi="Cambria" w:cs="Calibri"/>
                <w:color w:val="000000" w:themeColor="text1"/>
                <w:sz w:val="22"/>
                <w:szCs w:val="22"/>
              </w:rPr>
              <w:t>® (Брава), 50 мл (ml) (НК46207)</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11</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6</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Абсорбуючий порошок </w:t>
            </w:r>
            <w:proofErr w:type="spellStart"/>
            <w:r w:rsidRPr="00AB5D8D">
              <w:rPr>
                <w:rFonts w:ascii="Cambria" w:hAnsi="Cambria" w:cs="Calibri"/>
                <w:color w:val="000000" w:themeColor="text1"/>
                <w:sz w:val="22"/>
                <w:szCs w:val="22"/>
              </w:rPr>
              <w:t>Brava</w:t>
            </w:r>
            <w:proofErr w:type="spellEnd"/>
            <w:r w:rsidRPr="00AB5D8D">
              <w:rPr>
                <w:rFonts w:ascii="Cambria" w:hAnsi="Cambria" w:cs="Calibri"/>
                <w:color w:val="000000" w:themeColor="text1"/>
                <w:sz w:val="22"/>
                <w:szCs w:val="22"/>
              </w:rPr>
              <w:t>® 25г 1907/01907 (НК46207)</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6</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7</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1758 </w:t>
            </w:r>
            <w:proofErr w:type="spellStart"/>
            <w:r w:rsidRPr="00AB5D8D">
              <w:rPr>
                <w:rFonts w:ascii="Cambria" w:hAnsi="Cambria" w:cs="Calibri"/>
                <w:color w:val="000000" w:themeColor="text1"/>
                <w:sz w:val="22"/>
                <w:szCs w:val="22"/>
              </w:rPr>
              <w:t>Уростомний</w:t>
            </w:r>
            <w:proofErr w:type="spellEnd"/>
            <w:r w:rsidRPr="00AB5D8D">
              <w:rPr>
                <w:rFonts w:ascii="Cambria" w:hAnsi="Cambria" w:cs="Calibri"/>
                <w:color w:val="000000" w:themeColor="text1"/>
                <w:sz w:val="22"/>
                <w:szCs w:val="22"/>
              </w:rPr>
              <w:t xml:space="preserve"> мішок двокомпонентний </w:t>
            </w:r>
            <w:proofErr w:type="spellStart"/>
            <w:r w:rsidRPr="00AB5D8D">
              <w:rPr>
                <w:rFonts w:ascii="Cambria" w:hAnsi="Cambria" w:cs="Calibri"/>
                <w:color w:val="000000" w:themeColor="text1"/>
                <w:sz w:val="22"/>
                <w:szCs w:val="22"/>
              </w:rPr>
              <w:t>Alterna</w:t>
            </w:r>
            <w:proofErr w:type="spellEnd"/>
            <w:r w:rsidRPr="00AB5D8D">
              <w:rPr>
                <w:rFonts w:ascii="Cambria" w:hAnsi="Cambria" w:cs="Calibri"/>
                <w:color w:val="000000" w:themeColor="text1"/>
                <w:sz w:val="22"/>
                <w:szCs w:val="22"/>
              </w:rPr>
              <w:t xml:space="preserve"> N20, відкритий </w:t>
            </w:r>
            <w:proofErr w:type="spellStart"/>
            <w:r w:rsidRPr="00AB5D8D">
              <w:rPr>
                <w:rFonts w:ascii="Cambria" w:hAnsi="Cambria" w:cs="Calibri"/>
                <w:color w:val="000000" w:themeColor="text1"/>
                <w:sz w:val="22"/>
                <w:szCs w:val="22"/>
              </w:rPr>
              <w:t>прозорий,фланець</w:t>
            </w:r>
            <w:proofErr w:type="spellEnd"/>
            <w:r w:rsidRPr="00AB5D8D">
              <w:rPr>
                <w:rFonts w:ascii="Cambria" w:hAnsi="Cambria" w:cs="Calibri"/>
                <w:color w:val="000000" w:themeColor="text1"/>
                <w:sz w:val="22"/>
                <w:szCs w:val="22"/>
              </w:rPr>
              <w:t xml:space="preserve"> 50 мм (НК31069)</w:t>
            </w:r>
          </w:p>
        </w:tc>
        <w:tc>
          <w:tcPr>
            <w:tcW w:w="1208" w:type="dxa"/>
            <w:tcBorders>
              <w:top w:val="single" w:sz="4" w:space="0" w:color="auto"/>
              <w:left w:val="nil"/>
              <w:bottom w:val="nil"/>
              <w:right w:val="nil"/>
            </w:tcBorders>
            <w:shd w:val="clear" w:color="auto" w:fill="auto"/>
            <w:noWrap/>
            <w:vAlign w:val="center"/>
          </w:tcPr>
          <w:p w:rsidR="00020C39" w:rsidRDefault="0059097E" w:rsidP="00020C39">
            <w:pPr>
              <w:jc w:val="center"/>
              <w:rPr>
                <w:rFonts w:ascii="Cambria" w:hAnsi="Cambria" w:cs="Calibri"/>
                <w:color w:val="000000"/>
                <w:sz w:val="22"/>
                <w:szCs w:val="22"/>
              </w:rPr>
            </w:pPr>
            <w:proofErr w:type="spellStart"/>
            <w:r>
              <w:rPr>
                <w:rFonts w:ascii="Cambria" w:hAnsi="Cambria" w:cs="Calibri"/>
                <w:sz w:val="22"/>
                <w:szCs w:val="22"/>
              </w:rPr>
              <w:t>уп</w:t>
            </w:r>
            <w:proofErr w:type="spellEnd"/>
            <w:r>
              <w:rPr>
                <w:rFonts w:ascii="Cambria" w:hAnsi="Cambria" w:cs="Calibri"/>
                <w:sz w:val="22"/>
                <w:szCs w:val="22"/>
              </w:rPr>
              <w:t>.</w:t>
            </w: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59097E" w:rsidP="0059097E">
            <w:pPr>
              <w:jc w:val="center"/>
              <w:rPr>
                <w:rFonts w:ascii="Cambria" w:hAnsi="Cambria" w:cs="Calibri"/>
                <w:color w:val="000000"/>
                <w:sz w:val="22"/>
                <w:szCs w:val="22"/>
              </w:rPr>
            </w:pPr>
            <w:r>
              <w:rPr>
                <w:rFonts w:ascii="Cambria" w:hAnsi="Cambria" w:cs="Calibri"/>
                <w:color w:val="000000"/>
                <w:sz w:val="22"/>
                <w:szCs w:val="22"/>
              </w:rPr>
              <w:t>16</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8</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1776 </w:t>
            </w:r>
            <w:proofErr w:type="spellStart"/>
            <w:r w:rsidRPr="00AB5D8D">
              <w:rPr>
                <w:rFonts w:ascii="Cambria" w:hAnsi="Cambria" w:cs="Calibri"/>
                <w:color w:val="000000" w:themeColor="text1"/>
                <w:sz w:val="22"/>
                <w:szCs w:val="22"/>
              </w:rPr>
              <w:t>Калоприймач</w:t>
            </w:r>
            <w:proofErr w:type="spellEnd"/>
            <w:r w:rsidRPr="00AB5D8D">
              <w:rPr>
                <w:rFonts w:ascii="Cambria" w:hAnsi="Cambria" w:cs="Calibri"/>
                <w:color w:val="000000" w:themeColor="text1"/>
                <w:sz w:val="22"/>
                <w:szCs w:val="22"/>
              </w:rPr>
              <w:t xml:space="preserve"> </w:t>
            </w:r>
            <w:proofErr w:type="spellStart"/>
            <w:r w:rsidRPr="00AB5D8D">
              <w:rPr>
                <w:rFonts w:ascii="Cambria" w:hAnsi="Cambria" w:cs="Calibri"/>
                <w:color w:val="000000" w:themeColor="text1"/>
                <w:sz w:val="22"/>
                <w:szCs w:val="22"/>
              </w:rPr>
              <w:t>стомічний</w:t>
            </w:r>
            <w:proofErr w:type="spellEnd"/>
            <w:r w:rsidRPr="00AB5D8D">
              <w:rPr>
                <w:rFonts w:ascii="Cambria" w:hAnsi="Cambria" w:cs="Calibri"/>
                <w:color w:val="000000" w:themeColor="text1"/>
                <w:sz w:val="22"/>
                <w:szCs w:val="22"/>
              </w:rPr>
              <w:t xml:space="preserve"> двокомпонентний </w:t>
            </w:r>
            <w:proofErr w:type="spellStart"/>
            <w:r w:rsidRPr="00AB5D8D">
              <w:rPr>
                <w:rFonts w:ascii="Cambria" w:hAnsi="Cambria" w:cs="Calibri"/>
                <w:color w:val="000000" w:themeColor="text1"/>
                <w:sz w:val="22"/>
                <w:szCs w:val="22"/>
              </w:rPr>
              <w:t>Alterna</w:t>
            </w:r>
            <w:proofErr w:type="spellEnd"/>
            <w:r w:rsidRPr="00AB5D8D">
              <w:rPr>
                <w:rFonts w:ascii="Cambria" w:hAnsi="Cambria" w:cs="Calibri"/>
                <w:color w:val="000000" w:themeColor="text1"/>
                <w:sz w:val="22"/>
                <w:szCs w:val="22"/>
              </w:rPr>
              <w:t xml:space="preserve"> пластина №5, фланець 50 мм, розмір для вирізання 10-45 мм (НК31073)</w:t>
            </w:r>
          </w:p>
        </w:tc>
        <w:tc>
          <w:tcPr>
            <w:tcW w:w="1208" w:type="dxa"/>
            <w:tcBorders>
              <w:top w:val="single" w:sz="4" w:space="0" w:color="auto"/>
              <w:left w:val="nil"/>
              <w:bottom w:val="nil"/>
              <w:right w:val="nil"/>
            </w:tcBorders>
            <w:shd w:val="clear" w:color="auto" w:fill="auto"/>
            <w:noWrap/>
            <w:vAlign w:val="center"/>
          </w:tcPr>
          <w:p w:rsidR="00020C39" w:rsidRDefault="0059097E" w:rsidP="00020C39">
            <w:pPr>
              <w:jc w:val="center"/>
              <w:rPr>
                <w:rFonts w:ascii="Cambria" w:hAnsi="Cambria" w:cs="Calibri"/>
                <w:color w:val="000000"/>
                <w:sz w:val="22"/>
                <w:szCs w:val="22"/>
              </w:rPr>
            </w:pPr>
            <w:proofErr w:type="spellStart"/>
            <w:r>
              <w:rPr>
                <w:rFonts w:ascii="Cambria" w:hAnsi="Cambria" w:cs="Calibri"/>
                <w:sz w:val="22"/>
                <w:szCs w:val="22"/>
              </w:rPr>
              <w:t>уп</w:t>
            </w:r>
            <w:proofErr w:type="spellEnd"/>
            <w:r>
              <w:rPr>
                <w:rFonts w:ascii="Cambria" w:hAnsi="Cambria" w:cs="Calibri"/>
                <w:sz w:val="22"/>
                <w:szCs w:val="22"/>
              </w:rPr>
              <w:t>.</w:t>
            </w: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59097E" w:rsidP="00020C39">
            <w:pPr>
              <w:jc w:val="center"/>
              <w:rPr>
                <w:rFonts w:ascii="Cambria" w:hAnsi="Cambria" w:cs="Calibri"/>
                <w:color w:val="000000"/>
                <w:sz w:val="22"/>
                <w:szCs w:val="22"/>
              </w:rPr>
            </w:pPr>
            <w:r>
              <w:rPr>
                <w:rFonts w:ascii="Cambria" w:hAnsi="Cambria" w:cs="Calibri"/>
                <w:color w:val="000000"/>
                <w:sz w:val="22"/>
                <w:szCs w:val="22"/>
              </w:rPr>
              <w:t>22</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9</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020C39">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Ємкість для збору сечі для чоловіків </w:t>
            </w:r>
            <w:proofErr w:type="spellStart"/>
            <w:r w:rsidRPr="00AB5D8D">
              <w:rPr>
                <w:rFonts w:ascii="Cambria" w:hAnsi="Cambria" w:cs="Calibri"/>
                <w:color w:val="000000" w:themeColor="text1"/>
                <w:sz w:val="22"/>
                <w:szCs w:val="22"/>
              </w:rPr>
              <w:t>Plastilab</w:t>
            </w:r>
            <w:proofErr w:type="spellEnd"/>
            <w:r w:rsidRPr="00AB5D8D">
              <w:rPr>
                <w:rFonts w:ascii="Cambria" w:hAnsi="Cambria" w:cs="Calibri"/>
                <w:color w:val="000000" w:themeColor="text1"/>
                <w:sz w:val="22"/>
                <w:szCs w:val="22"/>
              </w:rPr>
              <w:t>, 1000 мл, з HDPE, з кришкою, нестерильна (НК34867)</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30</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10</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Pr="00AB5D8D" w:rsidRDefault="00020C39" w:rsidP="0059097E">
            <w:pPr>
              <w:rPr>
                <w:rFonts w:ascii="Cambria" w:hAnsi="Cambria" w:cs="Calibri"/>
                <w:color w:val="000000" w:themeColor="text1"/>
                <w:sz w:val="22"/>
                <w:szCs w:val="22"/>
              </w:rPr>
            </w:pPr>
            <w:r w:rsidRPr="00AB5D8D">
              <w:rPr>
                <w:rFonts w:ascii="Cambria" w:hAnsi="Cambria" w:cs="Calibri"/>
                <w:color w:val="000000" w:themeColor="text1"/>
                <w:sz w:val="22"/>
                <w:szCs w:val="22"/>
              </w:rPr>
              <w:t xml:space="preserve">Ємкість  для  сечі 120 мл (з PP, з кришкою, в індивідуальній упаковці, стерильна) (НК31400) </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30000</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020C39" w:rsidRPr="00DD5AD1" w:rsidTr="00CD092F">
        <w:trPr>
          <w:trHeight w:val="658"/>
        </w:trPr>
        <w:tc>
          <w:tcPr>
            <w:tcW w:w="583" w:type="dxa"/>
            <w:tcBorders>
              <w:top w:val="single" w:sz="4" w:space="0" w:color="auto"/>
              <w:left w:val="single" w:sz="8" w:space="0" w:color="auto"/>
              <w:bottom w:val="nil"/>
              <w:right w:val="nil"/>
            </w:tcBorders>
            <w:shd w:val="clear" w:color="auto" w:fill="auto"/>
            <w:noWrap/>
            <w:vAlign w:val="center"/>
          </w:tcPr>
          <w:p w:rsidR="00020C39" w:rsidRDefault="00AB5D8D" w:rsidP="00020C39">
            <w:pPr>
              <w:suppressAutoHyphens w:val="0"/>
              <w:jc w:val="center"/>
              <w:rPr>
                <w:color w:val="000000"/>
                <w:lang w:val="ru-RU" w:eastAsia="ru-RU"/>
              </w:rPr>
            </w:pPr>
            <w:r>
              <w:rPr>
                <w:color w:val="000000"/>
                <w:lang w:val="ru-RU" w:eastAsia="ru-RU"/>
              </w:rPr>
              <w:t>11</w:t>
            </w:r>
          </w:p>
        </w:tc>
        <w:tc>
          <w:tcPr>
            <w:tcW w:w="4045" w:type="dxa"/>
            <w:tcBorders>
              <w:top w:val="single" w:sz="4" w:space="0" w:color="auto"/>
              <w:left w:val="single" w:sz="8" w:space="0" w:color="auto"/>
              <w:bottom w:val="nil"/>
              <w:right w:val="single" w:sz="8" w:space="0" w:color="auto"/>
            </w:tcBorders>
            <w:shd w:val="clear" w:color="auto" w:fill="auto"/>
            <w:vAlign w:val="bottom"/>
          </w:tcPr>
          <w:p w:rsidR="00020C39" w:rsidRDefault="00020C39" w:rsidP="0059097E">
            <w:pPr>
              <w:rPr>
                <w:rFonts w:ascii="Cambria" w:hAnsi="Cambria" w:cs="Calibri"/>
                <w:color w:val="000000"/>
                <w:sz w:val="22"/>
                <w:szCs w:val="22"/>
              </w:rPr>
            </w:pPr>
            <w:r>
              <w:rPr>
                <w:rFonts w:ascii="Cambria" w:hAnsi="Cambria" w:cs="Calibri"/>
                <w:color w:val="000000"/>
                <w:sz w:val="22"/>
                <w:szCs w:val="22"/>
              </w:rPr>
              <w:t xml:space="preserve">Ємкість  для  калу 30 мл  (з PP, з кришкою, в індивідуальній упаковці, стерильна) (НК57907) </w:t>
            </w:r>
          </w:p>
        </w:tc>
        <w:tc>
          <w:tcPr>
            <w:tcW w:w="1208" w:type="dxa"/>
            <w:tcBorders>
              <w:top w:val="single" w:sz="4" w:space="0" w:color="auto"/>
              <w:left w:val="nil"/>
              <w:bottom w:val="nil"/>
              <w:right w:val="nil"/>
            </w:tcBorders>
            <w:shd w:val="clear" w:color="auto" w:fill="auto"/>
            <w:noWrap/>
            <w:vAlign w:val="center"/>
          </w:tcPr>
          <w:p w:rsidR="00020C39" w:rsidRDefault="00020C39" w:rsidP="00020C39">
            <w:pPr>
              <w:jc w:val="center"/>
              <w:rPr>
                <w:rFonts w:ascii="Cambria" w:hAnsi="Cambria" w:cs="Calibri"/>
                <w:color w:val="000000"/>
                <w:sz w:val="22"/>
                <w:szCs w:val="22"/>
              </w:rPr>
            </w:pPr>
            <w:proofErr w:type="spellStart"/>
            <w:r>
              <w:rPr>
                <w:rFonts w:ascii="Cambria" w:hAnsi="Cambria" w:cs="Calibri"/>
                <w:color w:val="000000"/>
                <w:sz w:val="22"/>
                <w:szCs w:val="22"/>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020C39" w:rsidRDefault="00020C39" w:rsidP="00020C39">
            <w:pPr>
              <w:jc w:val="center"/>
              <w:rPr>
                <w:rFonts w:ascii="Cambria" w:hAnsi="Cambria" w:cs="Calibri"/>
                <w:color w:val="000000"/>
                <w:sz w:val="22"/>
                <w:szCs w:val="22"/>
              </w:rPr>
            </w:pPr>
            <w:r>
              <w:rPr>
                <w:rFonts w:ascii="Cambria" w:hAnsi="Cambria" w:cs="Calibri"/>
                <w:color w:val="000000"/>
                <w:sz w:val="22"/>
                <w:szCs w:val="22"/>
              </w:rPr>
              <w:t>300</w:t>
            </w:r>
          </w:p>
        </w:tc>
        <w:tc>
          <w:tcPr>
            <w:tcW w:w="1486" w:type="dxa"/>
            <w:tcBorders>
              <w:top w:val="single" w:sz="4" w:space="0" w:color="auto"/>
              <w:left w:val="nil"/>
              <w:bottom w:val="nil"/>
              <w:right w:val="nil"/>
            </w:tcBorders>
            <w:shd w:val="clear" w:color="auto" w:fill="auto"/>
            <w:noWrap/>
            <w:vAlign w:val="center"/>
          </w:tcPr>
          <w:p w:rsidR="00020C39" w:rsidRPr="00DD5AD1" w:rsidRDefault="00020C39" w:rsidP="00020C39">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20C39" w:rsidRPr="00DD5AD1" w:rsidRDefault="00020C39" w:rsidP="00020C39">
            <w:pPr>
              <w:suppressAutoHyphens w:val="0"/>
              <w:jc w:val="center"/>
              <w:rPr>
                <w:color w:val="000000"/>
                <w:lang w:val="ru-RU" w:eastAsia="ru-RU"/>
              </w:rPr>
            </w:pPr>
          </w:p>
        </w:tc>
      </w:tr>
      <w:tr w:rsidR="004B1331" w:rsidRPr="0094301D" w:rsidTr="00AA4879">
        <w:trPr>
          <w:trHeight w:val="531"/>
        </w:trPr>
        <w:tc>
          <w:tcPr>
            <w:tcW w:w="1045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B1331" w:rsidRPr="003466AD" w:rsidRDefault="004B1331" w:rsidP="00AA4879">
            <w:pPr>
              <w:suppressAutoHyphens w:val="0"/>
              <w:jc w:val="both"/>
              <w:rPr>
                <w:b/>
                <w:bCs/>
                <w:color w:val="000000"/>
                <w:lang w:eastAsia="ru-RU"/>
              </w:rPr>
            </w:pPr>
            <w:r w:rsidRPr="003466AD">
              <w:rPr>
                <w:b/>
                <w:bCs/>
                <w:color w:val="000000"/>
                <w:lang w:eastAsia="ru-RU"/>
              </w:rPr>
              <w:lastRenderedPageBreak/>
              <w:t xml:space="preserve">Загальна вартість: </w:t>
            </w:r>
            <w:r>
              <w:rPr>
                <w:b/>
                <w:bCs/>
                <w:color w:val="000000"/>
                <w:lang w:eastAsia="ru-RU"/>
              </w:rPr>
              <w:t>________________</w:t>
            </w:r>
            <w:r w:rsidRPr="0094301D">
              <w:rPr>
                <w:b/>
                <w:bCs/>
                <w:color w:val="000000"/>
                <w:lang w:eastAsia="ru-RU"/>
              </w:rPr>
              <w:t xml:space="preserve"> грн. (</w:t>
            </w:r>
            <w:r>
              <w:rPr>
                <w:b/>
                <w:bCs/>
                <w:color w:val="000000"/>
                <w:lang w:eastAsia="ru-RU"/>
              </w:rPr>
              <w:t>________________</w:t>
            </w:r>
            <w:r w:rsidRPr="003466AD">
              <w:rPr>
                <w:b/>
                <w:bCs/>
                <w:color w:val="000000"/>
                <w:lang w:eastAsia="ru-RU"/>
              </w:rPr>
              <w:t xml:space="preserve"> грн.</w:t>
            </w:r>
            <w:r>
              <w:rPr>
                <w:b/>
                <w:bCs/>
                <w:color w:val="000000"/>
                <w:lang w:eastAsia="ru-RU"/>
              </w:rPr>
              <w:t xml:space="preserve"> ______</w:t>
            </w:r>
            <w:r w:rsidRPr="003466AD">
              <w:rPr>
                <w:b/>
                <w:bCs/>
                <w:color w:val="000000"/>
                <w:lang w:eastAsia="ru-RU"/>
              </w:rPr>
              <w:t xml:space="preserve"> коп.</w:t>
            </w:r>
            <w:r>
              <w:rPr>
                <w:b/>
                <w:bCs/>
                <w:color w:val="000000"/>
                <w:lang w:eastAsia="ru-RU"/>
              </w:rPr>
              <w:t>)</w:t>
            </w:r>
            <w:r w:rsidRPr="003466AD">
              <w:rPr>
                <w:b/>
                <w:bCs/>
                <w:color w:val="000000"/>
                <w:lang w:eastAsia="ru-RU"/>
              </w:rPr>
              <w:t xml:space="preserve"> </w:t>
            </w:r>
            <w:r>
              <w:rPr>
                <w:b/>
                <w:bCs/>
                <w:color w:val="000000"/>
                <w:lang w:eastAsia="ru-RU"/>
              </w:rPr>
              <w:t>з/</w:t>
            </w:r>
            <w:r w:rsidRPr="003466AD">
              <w:rPr>
                <w:b/>
                <w:bCs/>
                <w:color w:val="000000"/>
                <w:lang w:eastAsia="ru-RU"/>
              </w:rPr>
              <w:t>без ПДВ</w:t>
            </w:r>
            <w:r>
              <w:rPr>
                <w:b/>
                <w:bCs/>
                <w:color w:val="000000"/>
                <w:lang w:eastAsia="ru-RU"/>
              </w:rPr>
              <w:t>.</w:t>
            </w:r>
          </w:p>
          <w:p w:rsidR="004B1331" w:rsidRPr="0094301D" w:rsidRDefault="004B1331" w:rsidP="00AA4879">
            <w:pPr>
              <w:suppressAutoHyphens w:val="0"/>
              <w:jc w:val="center"/>
              <w:rPr>
                <w:b/>
                <w:bCs/>
                <w:color w:val="000000"/>
                <w:lang w:eastAsia="ru-RU"/>
              </w:rPr>
            </w:pPr>
          </w:p>
        </w:tc>
      </w:tr>
    </w:tbl>
    <w:p w:rsidR="004B1331" w:rsidRPr="005E2B6C" w:rsidRDefault="004B1331" w:rsidP="004B1331"/>
    <w:tbl>
      <w:tblPr>
        <w:tblW w:w="10912" w:type="dxa"/>
        <w:tblInd w:w="-280" w:type="dxa"/>
        <w:tblLayout w:type="fixed"/>
        <w:tblLook w:val="0000" w:firstRow="0" w:lastRow="0" w:firstColumn="0" w:lastColumn="0" w:noHBand="0" w:noVBand="0"/>
      </w:tblPr>
      <w:tblGrid>
        <w:gridCol w:w="4675"/>
        <w:gridCol w:w="6237"/>
      </w:tblGrid>
      <w:tr w:rsidR="004B1331" w:rsidRPr="006274B6" w:rsidTr="00AA4879">
        <w:trPr>
          <w:trHeight w:val="367"/>
        </w:trPr>
        <w:tc>
          <w:tcPr>
            <w:tcW w:w="4675" w:type="dxa"/>
            <w:shd w:val="clear" w:color="auto" w:fill="auto"/>
          </w:tcPr>
          <w:p w:rsidR="004B1331" w:rsidRPr="00FA425A" w:rsidRDefault="004B1331" w:rsidP="00AA4879">
            <w:pPr>
              <w:jc w:val="center"/>
              <w:rPr>
                <w:b/>
                <w:color w:val="000000"/>
                <w:spacing w:val="-1"/>
                <w:sz w:val="22"/>
                <w:szCs w:val="22"/>
              </w:rPr>
            </w:pPr>
            <w:r w:rsidRPr="00FA425A">
              <w:rPr>
                <w:b/>
                <w:color w:val="000000"/>
                <w:spacing w:val="-1"/>
                <w:sz w:val="22"/>
                <w:szCs w:val="22"/>
              </w:rPr>
              <w:t>ПОКУПЕЦЬ</w:t>
            </w:r>
          </w:p>
          <w:p w:rsidR="004B1331" w:rsidRPr="00FA425A" w:rsidRDefault="004B1331" w:rsidP="00AA4879">
            <w:pPr>
              <w:jc w:val="center"/>
              <w:rPr>
                <w:b/>
                <w:color w:val="000000"/>
                <w:spacing w:val="-1"/>
                <w:sz w:val="22"/>
                <w:szCs w:val="22"/>
              </w:rPr>
            </w:pPr>
          </w:p>
          <w:tbl>
            <w:tblPr>
              <w:tblStyle w:val="a3"/>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4B1331" w:rsidRPr="00FA425A" w:rsidTr="00AA4879">
              <w:tc>
                <w:tcPr>
                  <w:tcW w:w="5268" w:type="dxa"/>
                </w:tcPr>
                <w:p w:rsidR="004B1331" w:rsidRPr="00FA425A" w:rsidRDefault="004B1331" w:rsidP="00AA4879">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4B1331" w:rsidRPr="00FA425A" w:rsidRDefault="004B1331" w:rsidP="00AA4879">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4B1331" w:rsidRPr="00FA425A" w:rsidRDefault="004B1331" w:rsidP="00AA4879">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4B1331" w:rsidRPr="00FA425A" w:rsidRDefault="004B1331" w:rsidP="00AA4879">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4B1331" w:rsidRPr="00EB3297" w:rsidRDefault="004B1331" w:rsidP="00AA4879">
                  <w:pPr>
                    <w:tabs>
                      <w:tab w:val="left" w:pos="6495"/>
                    </w:tabs>
                    <w:jc w:val="both"/>
                    <w:rPr>
                      <w:color w:val="000000"/>
                      <w:spacing w:val="-2"/>
                      <w:sz w:val="22"/>
                      <w:szCs w:val="22"/>
                      <w:lang w:val="uk-UA"/>
                    </w:rPr>
                  </w:pPr>
                  <w:r w:rsidRPr="00FA425A">
                    <w:rPr>
                      <w:color w:val="000000"/>
                      <w:spacing w:val="-2"/>
                      <w:sz w:val="22"/>
                      <w:szCs w:val="22"/>
                      <w:lang w:val="uk-UA"/>
                    </w:rPr>
                    <w:t xml:space="preserve">р/р </w:t>
                  </w:r>
                  <w:r w:rsidRPr="00EB3297">
                    <w:rPr>
                      <w:color w:val="000000"/>
                      <w:spacing w:val="-2"/>
                      <w:sz w:val="22"/>
                      <w:szCs w:val="22"/>
                      <w:lang w:val="uk-UA"/>
                    </w:rPr>
                    <w:t>UA288201720344330001000049353</w:t>
                  </w:r>
                </w:p>
                <w:p w:rsidR="004B1331" w:rsidRPr="00EB3297" w:rsidRDefault="004B1331" w:rsidP="00AA4879">
                  <w:pPr>
                    <w:tabs>
                      <w:tab w:val="left" w:pos="6495"/>
                    </w:tabs>
                    <w:jc w:val="both"/>
                    <w:rPr>
                      <w:color w:val="000000"/>
                      <w:spacing w:val="-2"/>
                      <w:sz w:val="22"/>
                      <w:szCs w:val="22"/>
                      <w:lang w:val="uk-UA"/>
                    </w:rPr>
                  </w:pPr>
                  <w:r w:rsidRPr="00EB3297">
                    <w:rPr>
                      <w:color w:val="000000"/>
                      <w:spacing w:val="-2"/>
                      <w:sz w:val="22"/>
                      <w:szCs w:val="22"/>
                      <w:lang w:val="uk-UA"/>
                    </w:rPr>
                    <w:t>УДКСУ у м. Горішніх Плавнях,</w:t>
                  </w:r>
                </w:p>
                <w:p w:rsidR="0059097E" w:rsidRDefault="004B1331" w:rsidP="00AA4879">
                  <w:pPr>
                    <w:tabs>
                      <w:tab w:val="left" w:pos="6495"/>
                    </w:tabs>
                    <w:jc w:val="both"/>
                    <w:rPr>
                      <w:color w:val="000000"/>
                      <w:spacing w:val="-2"/>
                      <w:sz w:val="22"/>
                      <w:szCs w:val="22"/>
                      <w:lang w:val="uk-UA"/>
                    </w:rPr>
                  </w:pPr>
                  <w:r w:rsidRPr="00EB3297">
                    <w:rPr>
                      <w:color w:val="000000"/>
                      <w:spacing w:val="-2"/>
                      <w:sz w:val="22"/>
                      <w:szCs w:val="22"/>
                      <w:lang w:val="uk-UA"/>
                    </w:rPr>
                    <w:t>Полтавської області</w:t>
                  </w:r>
                </w:p>
                <w:p w:rsidR="0059097E" w:rsidRPr="0059097E" w:rsidRDefault="004B1331" w:rsidP="0059097E">
                  <w:pPr>
                    <w:tabs>
                      <w:tab w:val="left" w:pos="6495"/>
                    </w:tabs>
                    <w:jc w:val="both"/>
                    <w:rPr>
                      <w:color w:val="000000"/>
                      <w:spacing w:val="-2"/>
                      <w:sz w:val="22"/>
                      <w:szCs w:val="22"/>
                      <w:lang w:val="uk-UA"/>
                    </w:rPr>
                  </w:pPr>
                  <w:r w:rsidRPr="00EB3297">
                    <w:rPr>
                      <w:color w:val="000000"/>
                      <w:spacing w:val="-2"/>
                      <w:sz w:val="22"/>
                      <w:szCs w:val="22"/>
                      <w:lang w:val="uk-UA"/>
                    </w:rPr>
                    <w:t xml:space="preserve"> </w:t>
                  </w:r>
                  <w:r w:rsidR="0059097E" w:rsidRPr="0059097E">
                    <w:rPr>
                      <w:color w:val="000000"/>
                      <w:spacing w:val="-2"/>
                      <w:sz w:val="22"/>
                      <w:szCs w:val="22"/>
                      <w:lang w:val="uk-UA"/>
                    </w:rPr>
                    <w:t>р/р UA953052990000026009001200212</w:t>
                  </w:r>
                </w:p>
                <w:p w:rsidR="004B1331" w:rsidRDefault="0059097E" w:rsidP="0059097E">
                  <w:pPr>
                    <w:tabs>
                      <w:tab w:val="left" w:pos="6495"/>
                    </w:tabs>
                    <w:jc w:val="both"/>
                    <w:rPr>
                      <w:color w:val="000000"/>
                      <w:spacing w:val="-2"/>
                      <w:sz w:val="22"/>
                      <w:szCs w:val="22"/>
                      <w:lang w:val="uk-UA"/>
                    </w:rPr>
                  </w:pPr>
                  <w:r w:rsidRPr="0059097E">
                    <w:rPr>
                      <w:color w:val="000000"/>
                      <w:spacing w:val="-2"/>
                      <w:sz w:val="22"/>
                      <w:szCs w:val="22"/>
                      <w:lang w:val="uk-UA"/>
                    </w:rPr>
                    <w:t>АТ КБ «Приватбанк»</w:t>
                  </w:r>
                </w:p>
                <w:p w:rsidR="004B1331" w:rsidRPr="00FA425A" w:rsidRDefault="004B1331" w:rsidP="00AA4879">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4B1331" w:rsidRPr="00FA425A" w:rsidRDefault="004B1331" w:rsidP="00AA4879">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5" w:history="1">
                    <w:r w:rsidRPr="00FA425A">
                      <w:rPr>
                        <w:rStyle w:val="a6"/>
                        <w:spacing w:val="-2"/>
                        <w:sz w:val="22"/>
                        <w:szCs w:val="22"/>
                        <w:lang w:val="uk-UA"/>
                      </w:rPr>
                      <w:t>koms.hosp@gmail.com</w:t>
                    </w:r>
                  </w:hyperlink>
                  <w:r w:rsidRPr="00FA425A">
                    <w:rPr>
                      <w:color w:val="000000"/>
                      <w:spacing w:val="-2"/>
                      <w:sz w:val="22"/>
                      <w:szCs w:val="22"/>
                      <w:lang w:val="uk-UA"/>
                    </w:rPr>
                    <w:t xml:space="preserve"> </w:t>
                  </w:r>
                </w:p>
                <w:p w:rsidR="004B1331" w:rsidRPr="00FA425A" w:rsidRDefault="004B1331" w:rsidP="00AA4879">
                  <w:pPr>
                    <w:tabs>
                      <w:tab w:val="left" w:pos="6495"/>
                    </w:tabs>
                    <w:jc w:val="both"/>
                    <w:rPr>
                      <w:color w:val="000000"/>
                      <w:spacing w:val="-2"/>
                      <w:sz w:val="22"/>
                      <w:szCs w:val="22"/>
                      <w:lang w:val="uk-UA"/>
                    </w:rPr>
                  </w:pPr>
                </w:p>
                <w:p w:rsidR="004B1331" w:rsidRPr="00FA425A" w:rsidRDefault="004B1331" w:rsidP="00AA4879">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4B1331" w:rsidRPr="00FA425A" w:rsidRDefault="004B1331" w:rsidP="00AA4879">
                  <w:pPr>
                    <w:tabs>
                      <w:tab w:val="left" w:pos="6495"/>
                    </w:tabs>
                    <w:jc w:val="both"/>
                    <w:rPr>
                      <w:b/>
                      <w:color w:val="000000"/>
                      <w:spacing w:val="-2"/>
                      <w:sz w:val="22"/>
                      <w:szCs w:val="22"/>
                      <w:lang w:val="uk-UA"/>
                    </w:rPr>
                  </w:pPr>
                </w:p>
                <w:p w:rsidR="004B1331" w:rsidRPr="00FA425A" w:rsidRDefault="004B1331" w:rsidP="00AA4879">
                  <w:pPr>
                    <w:tabs>
                      <w:tab w:val="left" w:pos="6495"/>
                    </w:tabs>
                    <w:jc w:val="both"/>
                    <w:rPr>
                      <w:color w:val="000000"/>
                      <w:spacing w:val="-2"/>
                      <w:sz w:val="22"/>
                      <w:szCs w:val="22"/>
                      <w:lang w:val="uk-UA"/>
                    </w:rPr>
                  </w:pPr>
                  <w:r>
                    <w:rPr>
                      <w:b/>
                      <w:color w:val="000000"/>
                      <w:spacing w:val="-2"/>
                      <w:sz w:val="22"/>
                      <w:szCs w:val="22"/>
                      <w:lang w:val="uk-UA"/>
                    </w:rPr>
                    <w:t>___________________</w:t>
                  </w:r>
                  <w:r w:rsidRPr="00FA425A">
                    <w:rPr>
                      <w:b/>
                      <w:color w:val="000000"/>
                      <w:spacing w:val="-2"/>
                      <w:sz w:val="22"/>
                      <w:szCs w:val="22"/>
                      <w:lang w:val="uk-UA"/>
                    </w:rPr>
                    <w:t>_/</w:t>
                  </w:r>
                  <w:r>
                    <w:rPr>
                      <w:b/>
                      <w:color w:val="000000"/>
                      <w:spacing w:val="-2"/>
                      <w:sz w:val="22"/>
                      <w:szCs w:val="22"/>
                      <w:lang w:val="uk-UA"/>
                    </w:rPr>
                    <w:t>Наталя МАЛИГІНА</w:t>
                  </w:r>
                  <w:r w:rsidRPr="00FA425A">
                    <w:rPr>
                      <w:b/>
                      <w:color w:val="000000"/>
                      <w:spacing w:val="-2"/>
                      <w:sz w:val="22"/>
                      <w:szCs w:val="22"/>
                      <w:lang w:val="uk-UA"/>
                    </w:rPr>
                    <w:t>/</w:t>
                  </w:r>
                </w:p>
              </w:tc>
              <w:tc>
                <w:tcPr>
                  <w:tcW w:w="567" w:type="dxa"/>
                </w:tcPr>
                <w:p w:rsidR="004B1331" w:rsidRPr="00FA425A" w:rsidRDefault="004B1331" w:rsidP="00AA4879">
                  <w:pPr>
                    <w:tabs>
                      <w:tab w:val="left" w:pos="6495"/>
                    </w:tabs>
                    <w:jc w:val="both"/>
                    <w:rPr>
                      <w:color w:val="000000"/>
                      <w:spacing w:val="-2"/>
                      <w:sz w:val="22"/>
                      <w:szCs w:val="22"/>
                      <w:lang w:val="uk-UA"/>
                    </w:rPr>
                  </w:pPr>
                </w:p>
              </w:tc>
            </w:tr>
          </w:tbl>
          <w:p w:rsidR="004B1331" w:rsidRPr="00FA425A" w:rsidRDefault="004B1331" w:rsidP="00AA4879">
            <w:pPr>
              <w:jc w:val="both"/>
              <w:rPr>
                <w:color w:val="000000"/>
                <w:spacing w:val="-1"/>
                <w:sz w:val="22"/>
                <w:szCs w:val="22"/>
              </w:rPr>
            </w:pPr>
          </w:p>
        </w:tc>
        <w:tc>
          <w:tcPr>
            <w:tcW w:w="6237" w:type="dxa"/>
            <w:shd w:val="clear" w:color="auto" w:fill="auto"/>
          </w:tcPr>
          <w:p w:rsidR="004B1331" w:rsidRPr="00FA425A" w:rsidRDefault="004B1331" w:rsidP="00AA4879">
            <w:pPr>
              <w:jc w:val="center"/>
              <w:rPr>
                <w:b/>
                <w:color w:val="000000"/>
                <w:spacing w:val="-1"/>
                <w:sz w:val="22"/>
                <w:szCs w:val="22"/>
              </w:rPr>
            </w:pPr>
          </w:p>
        </w:tc>
      </w:tr>
    </w:tbl>
    <w:p w:rsidR="004B1331" w:rsidRDefault="004B1331" w:rsidP="004B1331">
      <w:pPr>
        <w:rPr>
          <w:i/>
          <w:color w:val="000000"/>
        </w:rPr>
        <w:sectPr w:rsidR="004B1331" w:rsidSect="00CD133F">
          <w:footerReference w:type="default" r:id="rId6"/>
          <w:pgSz w:w="11906" w:h="16838"/>
          <w:pgMar w:top="568" w:right="424" w:bottom="1134" w:left="851" w:header="708" w:footer="0" w:gutter="0"/>
          <w:cols w:space="708"/>
          <w:docGrid w:linePitch="360"/>
        </w:sectPr>
      </w:pPr>
    </w:p>
    <w:p w:rsidR="008C1AEC" w:rsidRDefault="008C1AEC" w:rsidP="0059097E"/>
    <w:sectPr w:rsidR="008C1AEC" w:rsidSect="007C7982">
      <w:footerReference w:type="default" r:id="rId7"/>
      <w:pgSz w:w="11906" w:h="16838"/>
      <w:pgMar w:top="1134" w:right="850"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D12388">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7294725" wp14:editId="359B46E9">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CBA707"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D12388"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Pr>
        <w:rFonts w:ascii="Times New Roman" w:hAnsi="Times New Roman"/>
        <w:noProof/>
      </w:rPr>
      <w:t>2</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D12388">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0FC24C6" wp14:editId="041B8864">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038D08"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D12388"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E37008">
      <w:rPr>
        <w:rFonts w:ascii="Times New Roman" w:hAnsi="Times New Roman"/>
        <w:noProof/>
      </w:rPr>
      <w:t>13</w:t>
    </w:r>
    <w:r w:rsidRPr="005243F3">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31"/>
    <w:rsid w:val="00020C39"/>
    <w:rsid w:val="00175C0E"/>
    <w:rsid w:val="00286361"/>
    <w:rsid w:val="004B1331"/>
    <w:rsid w:val="0059097E"/>
    <w:rsid w:val="008C1AEC"/>
    <w:rsid w:val="00AB5D8D"/>
    <w:rsid w:val="00D12388"/>
    <w:rsid w:val="00E37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7567"/>
  <w15:chartTrackingRefBased/>
  <w15:docId w15:val="{95BCA514-DE95-4775-88CB-A17603A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3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331"/>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4B1331"/>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4B1331"/>
    <w:rPr>
      <w:rFonts w:ascii="Calibri" w:eastAsia="Calibri" w:hAnsi="Calibri" w:cs="Times New Roman"/>
      <w:lang w:val="x-none"/>
    </w:rPr>
  </w:style>
  <w:style w:type="character" w:styleId="a6">
    <w:name w:val="Hyperlink"/>
    <w:basedOn w:val="a0"/>
    <w:uiPriority w:val="99"/>
    <w:unhideWhenUsed/>
    <w:rsid w:val="004B1331"/>
    <w:rPr>
      <w:color w:val="0563C1" w:themeColor="hyperlink"/>
      <w:u w:val="single"/>
    </w:rPr>
  </w:style>
  <w:style w:type="paragraph" w:styleId="a7">
    <w:name w:val="Balloon Text"/>
    <w:basedOn w:val="a"/>
    <w:link w:val="a8"/>
    <w:uiPriority w:val="99"/>
    <w:semiHidden/>
    <w:unhideWhenUsed/>
    <w:rsid w:val="00E37008"/>
    <w:rPr>
      <w:rFonts w:ascii="Segoe UI" w:hAnsi="Segoe UI" w:cs="Segoe UI"/>
      <w:sz w:val="18"/>
      <w:szCs w:val="18"/>
    </w:rPr>
  </w:style>
  <w:style w:type="character" w:customStyle="1" w:styleId="a8">
    <w:name w:val="Текст выноски Знак"/>
    <w:basedOn w:val="a0"/>
    <w:link w:val="a7"/>
    <w:uiPriority w:val="99"/>
    <w:semiHidden/>
    <w:rsid w:val="00E3700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koms.hosp@gmail.com" TargetMode="External"/><Relationship Id="rId4" Type="http://schemas.openxmlformats.org/officeDocument/2006/relationships/hyperlink" Target="mailto:koms.hosp@gmail.com"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24682</Words>
  <Characters>14069</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2024-01-30T13:09:00Z</cp:lastPrinted>
  <dcterms:created xsi:type="dcterms:W3CDTF">2024-01-30T11:42:00Z</dcterms:created>
  <dcterms:modified xsi:type="dcterms:W3CDTF">2024-01-30T14:03:00Z</dcterms:modified>
</cp:coreProperties>
</file>