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F0C1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1</w:t>
      </w: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F0C19" w:rsidRPr="00EF0C19" w:rsidRDefault="00EF0C19" w:rsidP="00EF0C19">
      <w:pPr>
        <w:spacing w:after="0" w:line="273" w:lineRule="auto"/>
        <w:ind w:left="2880" w:hanging="30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ТЕХНІЧНІ ВИМОГИ ДО ПРЕДМЕТА ЗАКУПІВЛІ:</w:t>
      </w:r>
    </w:p>
    <w:p w:rsidR="00EF0C19" w:rsidRPr="00EF0C19" w:rsidRDefault="00EF0C19" w:rsidP="00EF0C19">
      <w:pPr>
        <w:spacing w:after="0" w:line="240" w:lineRule="auto"/>
        <w:ind w:left="180" w:right="1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F0C19" w:rsidRPr="00EF0C19" w:rsidRDefault="00EF0C19" w:rsidP="00EF0C19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F0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ЗАГАЛЬНІ ВИМОГИ</w:t>
      </w:r>
    </w:p>
    <w:p w:rsidR="00EF0C19" w:rsidRPr="00EF0C19" w:rsidRDefault="00EF0C19" w:rsidP="00EF0C19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Планове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ічне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повинно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виконуватись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підприємством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підвищеної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небезпеки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сертифікованими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інженерами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пройшли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кваліфіковане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виробників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предметом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технічного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інженера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EF0C19" w:rsidRPr="00EF0C19" w:rsidRDefault="00EF0C19" w:rsidP="00EF0C19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приїзд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інженера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гарантійний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лист).</w:t>
      </w:r>
    </w:p>
    <w:p w:rsidR="00EF0C19" w:rsidRPr="00EF0C19" w:rsidRDefault="00EF0C19" w:rsidP="00EF0C19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недоліків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допущених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усунути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безоплатно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(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гарантійний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лист).</w:t>
      </w:r>
    </w:p>
    <w:p w:rsidR="00EF0C19" w:rsidRPr="00EF0C19" w:rsidRDefault="00EF0C19" w:rsidP="00EF0C19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додержання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представником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гарантійний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лист)</w:t>
      </w:r>
    </w:p>
    <w:p w:rsidR="00EF0C19" w:rsidRPr="00EF0C19" w:rsidRDefault="00EF0C19" w:rsidP="00EF0C19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витратних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прибуток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планується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сплачуються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запропонованих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гарантійний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лист).</w:t>
      </w:r>
    </w:p>
    <w:p w:rsidR="00EF0C19" w:rsidRPr="00EF0C19" w:rsidRDefault="00EF0C19" w:rsidP="00EF0C19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невідповідної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зобов'язується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усунути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недоліки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власний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гарантійний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лист).</w:t>
      </w:r>
    </w:p>
    <w:p w:rsidR="00EF0C19" w:rsidRDefault="00EF0C19" w:rsidP="00EF0C19">
      <w:pP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заміну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оригінальними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запчастинами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гарантійний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виробника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EF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62DE1" w:rsidRDefault="00A75FF5" w:rsidP="00262DE1">
      <w:pPr>
        <w:pStyle w:val="docdata"/>
        <w:pBdr>
          <w:bottom w:val="single" w:sz="8" w:space="31" w:color="C0C0C0"/>
        </w:pBdr>
        <w:shd w:val="clear" w:color="auto" w:fill="FFFFFF"/>
        <w:spacing w:before="0" w:beforeAutospacing="0" w:after="0" w:afterAutospacing="0"/>
        <w:ind w:right="45"/>
        <w:jc w:val="both"/>
        <w:rPr>
          <w:lang w:val="uk-UA"/>
        </w:rPr>
      </w:pPr>
      <w:r>
        <w:rPr>
          <w:color w:val="000000"/>
          <w:lang w:val="uk-UA"/>
        </w:rPr>
        <w:t>8.</w:t>
      </w:r>
      <w:r w:rsidRPr="00A75FF5">
        <w:rPr>
          <w:sz w:val="20"/>
          <w:szCs w:val="20"/>
        </w:rPr>
        <w:t xml:space="preserve"> </w:t>
      </w:r>
      <w:r w:rsidR="00262DE1">
        <w:rPr>
          <w:sz w:val="20"/>
          <w:szCs w:val="20"/>
          <w:lang w:val="uk-UA"/>
        </w:rPr>
        <w:t xml:space="preserve"> </w:t>
      </w:r>
      <w:proofErr w:type="spellStart"/>
      <w:r w:rsidR="00262DE1" w:rsidRPr="00262DE1">
        <w:rPr>
          <w:color w:val="000000"/>
        </w:rPr>
        <w:t>Гарантійний</w:t>
      </w:r>
      <w:proofErr w:type="spellEnd"/>
      <w:r w:rsidR="00262DE1" w:rsidRPr="00262DE1">
        <w:rPr>
          <w:color w:val="000000"/>
        </w:rPr>
        <w:t xml:space="preserve"> </w:t>
      </w:r>
      <w:proofErr w:type="spellStart"/>
      <w:r w:rsidR="00262DE1" w:rsidRPr="00262DE1">
        <w:rPr>
          <w:color w:val="000000"/>
        </w:rPr>
        <w:t>термін</w:t>
      </w:r>
      <w:proofErr w:type="spellEnd"/>
      <w:r w:rsidR="00262DE1" w:rsidRPr="00262DE1">
        <w:rPr>
          <w:color w:val="000000"/>
        </w:rPr>
        <w:t xml:space="preserve"> на </w:t>
      </w:r>
      <w:proofErr w:type="spellStart"/>
      <w:r w:rsidR="00262DE1" w:rsidRPr="00262DE1">
        <w:rPr>
          <w:color w:val="000000"/>
        </w:rPr>
        <w:t>надану</w:t>
      </w:r>
      <w:proofErr w:type="spellEnd"/>
      <w:r w:rsidR="00262DE1" w:rsidRPr="00262DE1">
        <w:rPr>
          <w:color w:val="000000"/>
        </w:rPr>
        <w:t xml:space="preserve"> </w:t>
      </w:r>
      <w:proofErr w:type="spellStart"/>
      <w:r w:rsidR="00262DE1" w:rsidRPr="00262DE1">
        <w:rPr>
          <w:color w:val="000000"/>
        </w:rPr>
        <w:t>послугу</w:t>
      </w:r>
      <w:proofErr w:type="spellEnd"/>
      <w:r w:rsidR="00262DE1" w:rsidRPr="00262DE1">
        <w:rPr>
          <w:color w:val="000000"/>
        </w:rPr>
        <w:t xml:space="preserve"> з моменту </w:t>
      </w:r>
      <w:proofErr w:type="spellStart"/>
      <w:r w:rsidR="00262DE1" w:rsidRPr="00262DE1">
        <w:rPr>
          <w:color w:val="000000"/>
        </w:rPr>
        <w:t>введення</w:t>
      </w:r>
      <w:proofErr w:type="spellEnd"/>
      <w:r w:rsidR="00262DE1" w:rsidRPr="00262DE1">
        <w:rPr>
          <w:color w:val="000000"/>
        </w:rPr>
        <w:t xml:space="preserve"> в </w:t>
      </w:r>
      <w:proofErr w:type="spellStart"/>
      <w:r w:rsidR="00262DE1" w:rsidRPr="00262DE1">
        <w:rPr>
          <w:color w:val="000000"/>
        </w:rPr>
        <w:t>експлуатацію</w:t>
      </w:r>
      <w:proofErr w:type="spellEnd"/>
      <w:r w:rsidR="00262DE1" w:rsidRPr="00262DE1">
        <w:rPr>
          <w:color w:val="000000"/>
        </w:rPr>
        <w:t xml:space="preserve"> повинен </w:t>
      </w:r>
      <w:proofErr w:type="spellStart"/>
      <w:r w:rsidR="00262DE1">
        <w:rPr>
          <w:color w:val="000000"/>
        </w:rPr>
        <w:t>складати</w:t>
      </w:r>
      <w:proofErr w:type="spellEnd"/>
      <w:r w:rsidR="00262DE1">
        <w:rPr>
          <w:color w:val="000000"/>
        </w:rPr>
        <w:t xml:space="preserve"> не </w:t>
      </w:r>
      <w:proofErr w:type="spellStart"/>
      <w:r w:rsidR="00262DE1">
        <w:rPr>
          <w:color w:val="000000"/>
        </w:rPr>
        <w:t>менш</w:t>
      </w:r>
      <w:proofErr w:type="spellEnd"/>
      <w:r w:rsidR="00262DE1">
        <w:rPr>
          <w:color w:val="000000"/>
        </w:rPr>
        <w:t xml:space="preserve"> </w:t>
      </w:r>
      <w:proofErr w:type="spellStart"/>
      <w:proofErr w:type="gramStart"/>
      <w:r w:rsidR="00262DE1">
        <w:rPr>
          <w:color w:val="000000"/>
        </w:rPr>
        <w:t>ніж</w:t>
      </w:r>
      <w:proofErr w:type="spellEnd"/>
      <w:proofErr w:type="gramEnd"/>
      <w:r w:rsidR="00262DE1">
        <w:rPr>
          <w:color w:val="000000"/>
        </w:rPr>
        <w:t xml:space="preserve"> 12 </w:t>
      </w:r>
      <w:proofErr w:type="spellStart"/>
      <w:r w:rsidR="00262DE1">
        <w:rPr>
          <w:color w:val="000000"/>
        </w:rPr>
        <w:t>місяців</w:t>
      </w:r>
      <w:proofErr w:type="spellEnd"/>
      <w:r w:rsidR="00262DE1">
        <w:rPr>
          <w:color w:val="000000"/>
          <w:lang w:val="uk-UA"/>
        </w:rPr>
        <w:t xml:space="preserve"> </w:t>
      </w:r>
      <w:r w:rsidR="00262DE1" w:rsidRPr="00262DE1">
        <w:rPr>
          <w:lang w:val="uk-UA"/>
        </w:rPr>
        <w:t xml:space="preserve"> (надати гарантійний лист)</w:t>
      </w:r>
    </w:p>
    <w:p w:rsidR="00262DE1" w:rsidRPr="00DD2DC8" w:rsidRDefault="00262DE1" w:rsidP="00262DE1">
      <w:pPr>
        <w:pStyle w:val="docdata"/>
        <w:pBdr>
          <w:bottom w:val="single" w:sz="8" w:space="31" w:color="C0C0C0"/>
        </w:pBdr>
        <w:shd w:val="clear" w:color="auto" w:fill="FFFFFF"/>
        <w:spacing w:before="0" w:beforeAutospacing="0" w:after="0" w:afterAutospacing="0"/>
        <w:ind w:right="45"/>
        <w:jc w:val="both"/>
        <w:rPr>
          <w:lang w:val="uk-UA"/>
        </w:rPr>
      </w:pPr>
    </w:p>
    <w:p w:rsidR="00DD2DC8" w:rsidRDefault="00262DE1" w:rsidP="00DD2DC8">
      <w:pPr>
        <w:pStyle w:val="docdata"/>
        <w:pBdr>
          <w:bottom w:val="single" w:sz="8" w:space="31" w:color="C0C0C0"/>
        </w:pBdr>
        <w:shd w:val="clear" w:color="auto" w:fill="FFFFFF"/>
        <w:spacing w:before="0" w:beforeAutospacing="0" w:after="0" w:afterAutospacing="0" w:line="276" w:lineRule="auto"/>
        <w:ind w:right="45"/>
        <w:jc w:val="both"/>
        <w:rPr>
          <w:lang w:val="uk-UA"/>
        </w:rPr>
      </w:pPr>
      <w:r w:rsidRPr="00DD2DC8">
        <w:rPr>
          <w:lang w:val="uk-UA"/>
        </w:rPr>
        <w:t xml:space="preserve">9. Виконавець повинен надати всю необхідну інформацію щодо експлуатації та правильного використання обладнання, зробити запис в технічному паспорті </w:t>
      </w:r>
      <w:proofErr w:type="spellStart"/>
      <w:r w:rsidRPr="00DD2DC8">
        <w:rPr>
          <w:lang w:val="uk-UA"/>
        </w:rPr>
        <w:t>прилада</w:t>
      </w:r>
      <w:proofErr w:type="spellEnd"/>
      <w:r w:rsidRPr="00DD2DC8">
        <w:rPr>
          <w:lang w:val="uk-UA"/>
        </w:rPr>
        <w:t xml:space="preserve"> про виконані роботи або надати Протокол щодо виконаних робіт та зробити запис відображення останніх показників на екранах приладів.  Передати всю необхідну технічну документацію, та інформаційну підтримку медичному персоналу Замовника</w:t>
      </w:r>
      <w:r w:rsidRPr="00262DE1">
        <w:rPr>
          <w:lang w:val="uk-UA"/>
        </w:rPr>
        <w:t>.</w:t>
      </w:r>
    </w:p>
    <w:p w:rsidR="00DD2DC8" w:rsidRDefault="00DD2DC8" w:rsidP="00DD2DC8">
      <w:pPr>
        <w:pStyle w:val="docdata"/>
        <w:pBdr>
          <w:bottom w:val="single" w:sz="8" w:space="31" w:color="C0C0C0"/>
        </w:pBdr>
        <w:shd w:val="clear" w:color="auto" w:fill="FFFFFF"/>
        <w:spacing w:before="0" w:beforeAutospacing="0" w:after="0" w:afterAutospacing="0" w:line="276" w:lineRule="auto"/>
        <w:ind w:right="45"/>
        <w:jc w:val="both"/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EF0C19" w:rsidRPr="00DD2DC8" w:rsidRDefault="00DD2DC8" w:rsidP="00DD2DC8">
      <w:pPr>
        <w:pStyle w:val="docdata"/>
        <w:pBdr>
          <w:bottom w:val="single" w:sz="8" w:space="31" w:color="C0C0C0"/>
        </w:pBdr>
        <w:shd w:val="clear" w:color="auto" w:fill="FFFFFF"/>
        <w:spacing w:before="0" w:beforeAutospacing="0" w:after="0" w:afterAutospacing="0" w:line="276" w:lineRule="auto"/>
        <w:ind w:right="4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EF0C19" w:rsidRPr="00EF0C19">
        <w:rPr>
          <w:b/>
          <w:bCs/>
          <w:color w:val="000000"/>
          <w:lang w:val="en-US"/>
        </w:rPr>
        <w:t>II</w:t>
      </w:r>
      <w:proofErr w:type="gramStart"/>
      <w:r w:rsidR="00EF0C19" w:rsidRPr="00EF0C19">
        <w:rPr>
          <w:b/>
          <w:bCs/>
          <w:color w:val="000000"/>
        </w:rPr>
        <w:t>.  ТЕХНІЧНІ</w:t>
      </w:r>
      <w:proofErr w:type="gramEnd"/>
      <w:r w:rsidR="00EF0C19" w:rsidRPr="00EF0C19">
        <w:rPr>
          <w:b/>
          <w:bCs/>
          <w:color w:val="000000"/>
        </w:rPr>
        <w:t xml:space="preserve"> ВИМОГИ</w:t>
      </w:r>
    </w:p>
    <w:p w:rsidR="00EF0C19" w:rsidRPr="00EF0C19" w:rsidRDefault="00EF0C19" w:rsidP="00EF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F0C19" w:rsidRPr="00EF0C19" w:rsidRDefault="00EF0C19" w:rsidP="00EF0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0C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F0C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 </w:t>
      </w:r>
      <w:proofErr w:type="spellStart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послуг</w:t>
      </w:r>
      <w:proofErr w:type="spellEnd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 </w:t>
      </w:r>
      <w:proofErr w:type="spellStart"/>
      <w:proofErr w:type="gramStart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</w:t>
      </w:r>
      <w:proofErr w:type="gramEnd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>ічного</w:t>
      </w:r>
      <w:proofErr w:type="spellEnd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>обслуговування</w:t>
      </w:r>
      <w:proofErr w:type="spellEnd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термодезінфекційних</w:t>
      </w:r>
      <w:proofErr w:type="spellEnd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машин MELA</w:t>
      </w:r>
      <w:r w:rsidR="00DD2DC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G</w:t>
      </w:r>
      <w:r w:rsidR="00DD2DC8" w:rsidRPr="00DD2DC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D2DC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MELA</w:t>
      </w:r>
      <w:bookmarkStart w:id="0" w:name="_GoBack"/>
      <w:bookmarkEnd w:id="0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therm10 DTB в </w:t>
      </w:r>
      <w:proofErr w:type="spellStart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кільккості</w:t>
      </w:r>
      <w:proofErr w:type="spellEnd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4 штуки (серійні номера: 201910-DTB3231, 201810-DTB3264, 201810-DTB3144, 201910- DTB3232),   парових стерилізаторів 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MELAG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lastRenderedPageBreak/>
        <w:t>Vacuklav</w:t>
      </w:r>
      <w:proofErr w:type="spellEnd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24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BL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+ в кількості 4 штуки (серійний номер:  201724- 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BL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1320, 201824- 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BL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1038,  201724- 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BL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1023, 201724- 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BL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1243 ) </w:t>
      </w:r>
      <w:r w:rsidRPr="00EF0C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повинно </w:t>
      </w:r>
      <w:proofErr w:type="spellStart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>входити</w:t>
      </w:r>
      <w:proofErr w:type="spellEnd"/>
      <w:r w:rsidRPr="00EF0C19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Pr="00EF0C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</w:p>
    <w:p w:rsidR="00EF0C19" w:rsidRPr="00EF0C19" w:rsidRDefault="00EF0C19" w:rsidP="00E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F0C19" w:rsidRPr="00EF0C19" w:rsidRDefault="00EF0C19" w:rsidP="00E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Y="7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134"/>
      </w:tblGrid>
      <w:tr w:rsidR="00EF0C19" w:rsidRPr="00EF0C19" w:rsidTr="00E16079">
        <w:trPr>
          <w:trHeight w:val="68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EF0C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spellStart"/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сть</w:t>
            </w:r>
            <w:proofErr w:type="spellEnd"/>
            <w:r w:rsidRPr="00EF0C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  <w:p w:rsidR="00EF0C19" w:rsidRPr="00EF0C19" w:rsidRDefault="00EF0C19" w:rsidP="00EF0C19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парові стерилізатори 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MELAG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Vacuklav</w:t>
            </w:r>
            <w:proofErr w:type="spellEnd"/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24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BL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+  в кількості 4 штуки  (серійний номер:  201724- 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BL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1320, 201824 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BL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1038,  201724 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BL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1023, 201724  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BL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1243):</w:t>
            </w:r>
          </w:p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Заміна базового набору запчастин для сервісного обслуговування:</w:t>
            </w:r>
          </w:p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EF0C19">
              <w:rPr>
                <w:rFonts w:ascii="Times New Roman" w:hAnsi="Times New Roman"/>
                <w:color w:val="000000"/>
                <w:lang w:val="ru-RU"/>
              </w:rPr>
              <w:tab/>
              <w:t>стерильний фільтр;</w:t>
            </w:r>
          </w:p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EF0C19">
              <w:rPr>
                <w:rFonts w:ascii="Times New Roman" w:hAnsi="Times New Roman"/>
                <w:color w:val="000000"/>
                <w:lang w:val="ru-RU"/>
              </w:rPr>
              <w:tab/>
              <w:t xml:space="preserve">ущільнювач парогенератора; </w:t>
            </w:r>
          </w:p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EF0C19">
              <w:rPr>
                <w:rFonts w:ascii="Times New Roman" w:hAnsi="Times New Roman"/>
                <w:color w:val="000000"/>
                <w:lang w:val="ru-RU"/>
              </w:rPr>
              <w:tab/>
              <w:t>ущільнюче кільце, тефлонова шайба;</w:t>
            </w:r>
          </w:p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</w:rPr>
            </w:pPr>
            <w:r w:rsidRPr="00EF0C19">
              <w:rPr>
                <w:rFonts w:ascii="Times New Roman" w:hAnsi="Times New Roman"/>
                <w:color w:val="000000"/>
              </w:rPr>
              <w:t xml:space="preserve">- </w:t>
            </w:r>
            <w:r w:rsidRPr="00EF0C19">
              <w:rPr>
                <w:rFonts w:ascii="Times New Roman" w:hAnsi="Times New Roman"/>
                <w:color w:val="000000"/>
              </w:rPr>
              <w:tab/>
            </w:r>
            <w:proofErr w:type="spellStart"/>
            <w:proofErr w:type="gramStart"/>
            <w:r w:rsidRPr="00EF0C19">
              <w:rPr>
                <w:rFonts w:ascii="Times New Roman" w:hAnsi="Times New Roman"/>
                <w:color w:val="000000"/>
              </w:rPr>
              <w:t>мастило</w:t>
            </w:r>
            <w:proofErr w:type="spellEnd"/>
            <w:proofErr w:type="gramEnd"/>
            <w:r w:rsidRPr="00EF0C19">
              <w:rPr>
                <w:rFonts w:ascii="Times New Roman" w:hAnsi="Times New Roman"/>
                <w:color w:val="000000"/>
              </w:rPr>
              <w:t xml:space="preserve"> 20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мл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F0C19">
              <w:rPr>
                <w:rFonts w:ascii="Times New Roman" w:hAnsi="Times New Roman"/>
                <w:color w:val="000000"/>
              </w:rPr>
              <w:t>послуга</w:t>
            </w:r>
            <w:proofErr w:type="spellEnd"/>
          </w:p>
          <w:p w:rsidR="00EF0C19" w:rsidRPr="00EF0C19" w:rsidRDefault="00EF0C19" w:rsidP="00EF0C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0C1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0C19">
              <w:rPr>
                <w:rFonts w:ascii="Times New Roman" w:hAnsi="Times New Roman"/>
                <w:lang w:val="uk-UA"/>
              </w:rPr>
              <w:t xml:space="preserve">1 </w:t>
            </w:r>
          </w:p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0C19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Перевірка якості інсталяції (з'єднання з комунікаціями, тиск у мережі водопостачання, напруга в мережі живлення)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 xml:space="preserve">Огляд, перевірка і змащування конструкційних елементів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Перевірка на герметичність з'єднань і шлангів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F0C19">
              <w:rPr>
                <w:rFonts w:ascii="Times New Roman" w:hAnsi="Times New Roman"/>
                <w:color w:val="000000"/>
              </w:rPr>
              <w:t>Скидання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лічильника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кількості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циклів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Перевірка електричної частини (електросхема, з’єднання)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термодизенфекційні</w:t>
            </w:r>
            <w:proofErr w:type="spellEnd"/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машини М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ELAG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MELAtherm</w:t>
            </w:r>
            <w:proofErr w:type="spellEnd"/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10 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DTB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в кількості 4 штуки (серійні номера: 201910-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DTB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3231, 201810-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DTB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3264, 201810-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DTB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3144, 201724-</w:t>
            </w:r>
            <w:r w:rsidRPr="00EF0C19">
              <w:rPr>
                <w:rFonts w:ascii="Times New Roman" w:hAnsi="Times New Roman"/>
                <w:b/>
                <w:sz w:val="24"/>
                <w:szCs w:val="24"/>
              </w:rPr>
              <w:t>BL</w:t>
            </w:r>
            <w:r w:rsidRPr="00EF0C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1243):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19" w:rsidRPr="00EF0C19" w:rsidRDefault="00EF0C19" w:rsidP="00EF0C1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lang w:val="ru-RU"/>
              </w:rPr>
            </w:pPr>
            <w:r w:rsidRPr="00EF0C19">
              <w:rPr>
                <w:rFonts w:ascii="Times New Roman" w:hAnsi="Times New Roman"/>
                <w:lang w:val="ru-RU"/>
              </w:rPr>
              <w:t xml:space="preserve">Заміна оригінального комплекту запчастин для </w:t>
            </w:r>
            <w:proofErr w:type="gramStart"/>
            <w:r w:rsidRPr="00EF0C19">
              <w:rPr>
                <w:rFonts w:ascii="Times New Roman" w:hAnsi="Times New Roman"/>
                <w:lang w:val="ru-RU"/>
              </w:rPr>
              <w:t>планового</w:t>
            </w:r>
            <w:proofErr w:type="gramEnd"/>
            <w:r w:rsidRPr="00EF0C19">
              <w:rPr>
                <w:rFonts w:ascii="Times New Roman" w:hAnsi="Times New Roman"/>
                <w:lang w:val="ru-RU"/>
              </w:rPr>
              <w:t xml:space="preserve"> сервісного обслуговування:</w:t>
            </w:r>
          </w:p>
          <w:p w:rsidR="00EF0C19" w:rsidRPr="00EF0C19" w:rsidRDefault="00EF0C19" w:rsidP="00EF0C1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ущільнювальне кільце для впускного сопла;</w:t>
            </w:r>
          </w:p>
          <w:p w:rsidR="00EF0C19" w:rsidRPr="00EF0C19" w:rsidRDefault="00EF0C19" w:rsidP="00EF0C1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F0C19">
              <w:rPr>
                <w:rFonts w:ascii="Times New Roman" w:hAnsi="Times New Roman"/>
                <w:color w:val="000000"/>
              </w:rPr>
              <w:t>фільтр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HEPA,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первинний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фільтр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>;</w:t>
            </w:r>
          </w:p>
          <w:p w:rsidR="00EF0C19" w:rsidRPr="00EF0C19" w:rsidRDefault="00EF0C19" w:rsidP="00EF0C1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шланг для очисника насоса-дозатора, нейтралізатор;</w:t>
            </w:r>
          </w:p>
          <w:p w:rsidR="00EF0C19" w:rsidRPr="00EF0C19" w:rsidRDefault="00EF0C19" w:rsidP="00EF0C1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F0C19">
              <w:rPr>
                <w:rFonts w:ascii="Times New Roman" w:hAnsi="Times New Roman"/>
                <w:color w:val="000000"/>
              </w:rPr>
              <w:t>шланг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дозуючого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насоса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>;</w:t>
            </w:r>
          </w:p>
          <w:p w:rsidR="00EF0C19" w:rsidRPr="00EF0C19" w:rsidRDefault="00EF0C19" w:rsidP="00EF0C1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F0C19">
              <w:rPr>
                <w:rFonts w:ascii="Times New Roman" w:hAnsi="Times New Roman"/>
                <w:color w:val="000000"/>
              </w:rPr>
              <w:t>відводи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для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конденсації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пари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>;</w:t>
            </w:r>
          </w:p>
          <w:p w:rsidR="00EF0C19" w:rsidRPr="00EF0C19" w:rsidRDefault="00EF0C19" w:rsidP="00EF0C1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EF0C19">
              <w:rPr>
                <w:rFonts w:ascii="Times New Roman" w:hAnsi="Times New Roman"/>
                <w:color w:val="000000"/>
              </w:rPr>
              <w:t>ущільнювач</w:t>
            </w:r>
            <w:proofErr w:type="spellEnd"/>
            <w:proofErr w:type="gram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кільця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тефлонова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шайба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>;.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Перевірка якості інсталяції (з'єднання з комунікаціями, тиск у мережі водопостачання, напруга в мережі живлення)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 xml:space="preserve">Огляд, перевірка і змащування конструкційних елементів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Перевірка на герметичність з'єднань і шлангів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EF0C19">
              <w:rPr>
                <w:rFonts w:ascii="Times New Roman" w:hAnsi="Times New Roman"/>
                <w:color w:val="000000"/>
              </w:rPr>
              <w:t>Скидання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лічильника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кількості</w:t>
            </w:r>
            <w:proofErr w:type="spellEnd"/>
            <w:r w:rsidRPr="00EF0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F0C19">
              <w:rPr>
                <w:rFonts w:ascii="Times New Roman" w:hAnsi="Times New Roman"/>
                <w:color w:val="000000"/>
              </w:rPr>
              <w:t>циклів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rPr>
                <w:rFonts w:ascii="Times New Roman" w:hAnsi="Times New Roman"/>
              </w:rPr>
            </w:pPr>
          </w:p>
        </w:tc>
      </w:tr>
      <w:tr w:rsidR="00EF0C19" w:rsidRPr="00EF0C19" w:rsidTr="00E1607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EF0C19">
              <w:rPr>
                <w:rFonts w:ascii="Times New Roman" w:hAnsi="Times New Roman"/>
                <w:color w:val="000000"/>
                <w:lang w:val="ru-RU"/>
              </w:rPr>
              <w:t>Перевірка електричної частини (електросхема, з’єднання)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19" w:rsidRPr="00EF0C19" w:rsidRDefault="00EF0C19" w:rsidP="00EF0C1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F0C19" w:rsidRPr="00EF0C19" w:rsidTr="00E16079">
        <w:trPr>
          <w:trHeight w:val="3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19" w:rsidRPr="00EF0C19" w:rsidRDefault="00EF0C19" w:rsidP="00EF0C19">
            <w:pPr>
              <w:autoSpaceDE w:val="0"/>
              <w:autoSpaceDN w:val="0"/>
              <w:adjustRightInd w:val="0"/>
              <w:ind w:left="-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</w:t>
            </w:r>
          </w:p>
        </w:tc>
      </w:tr>
    </w:tbl>
    <w:p w:rsidR="00EF0C19" w:rsidRPr="00EF0C19" w:rsidRDefault="00EF0C19" w:rsidP="00E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F0C19" w:rsidRPr="00EF0C19" w:rsidRDefault="00EF0C19" w:rsidP="00E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F0C19" w:rsidRPr="00EF0C19" w:rsidRDefault="00EF0C19" w:rsidP="00E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F0C19" w:rsidRPr="00EF0C19" w:rsidRDefault="00EF0C19" w:rsidP="00E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F0C19" w:rsidRPr="00EF0C19" w:rsidRDefault="00EF0C19" w:rsidP="00E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F0C19" w:rsidRPr="00EF0C19" w:rsidRDefault="00EF0C19" w:rsidP="00E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F0C19" w:rsidRPr="00EF0C19" w:rsidRDefault="00EF0C19" w:rsidP="00E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F0C19" w:rsidRPr="00EF0C19" w:rsidRDefault="00EF0C19" w:rsidP="00EF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F0C19" w:rsidRPr="00EF0C19" w:rsidRDefault="00EF0C19" w:rsidP="00EF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0C19" w:rsidRPr="00EF0C19" w:rsidRDefault="00EF0C19" w:rsidP="00EF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C19" w:rsidRPr="00EF0C19" w:rsidRDefault="00EF0C19" w:rsidP="00EF0C19">
      <w:pPr>
        <w:tabs>
          <w:tab w:val="left" w:pos="4774"/>
          <w:tab w:val="left" w:pos="5054"/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B3D" w:rsidRDefault="00E91B3D"/>
    <w:sectPr w:rsidR="00E9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3D2"/>
    <w:multiLevelType w:val="hybridMultilevel"/>
    <w:tmpl w:val="29505BA4"/>
    <w:lvl w:ilvl="0" w:tplc="147896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D4"/>
    <w:rsid w:val="00262DE1"/>
    <w:rsid w:val="006D23D4"/>
    <w:rsid w:val="00A75FF5"/>
    <w:rsid w:val="00DD2DC8"/>
    <w:rsid w:val="00E91B3D"/>
    <w:rsid w:val="00E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0C1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903,baiaagaaboqcaaadlacaaau6bwaaaaaaaaaaaaaaaaaaaaaaaaaaaaaaaaaaaaaaaaaaaaaaaaaaaaaaaaaaaaaaaaaaaaaaaaaaaaaaaaaaaaaaaaaaaaaaaaaaaaaaaaaaaaaaaaaaaaaaaaaaaaaaaaaaaaaaaaaaaaaaaaaaaaaaaaaaaaaaaaaaaaaaaaaaaaaaaaaaaaaaaaaaaaaaaaaaaaaaaaaaaaaa"/>
    <w:basedOn w:val="a"/>
    <w:rsid w:val="0026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0C1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903,baiaagaaboqcaaadlacaaau6bwaaaaaaaaaaaaaaaaaaaaaaaaaaaaaaaaaaaaaaaaaaaaaaaaaaaaaaaaaaaaaaaaaaaaaaaaaaaaaaaaaaaaaaaaaaaaaaaaaaaaaaaaaaaaaaaaaaaaaaaaaaaaaaaaaaaaaaaaaaaaaaaaaaaaaaaaaaaaaaaaaaaaaaaaaaaaaaaaaaaaaaaaaaaaaaaaaaaaaaaaaaaaaa"/>
    <w:basedOn w:val="a"/>
    <w:rsid w:val="0026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2023-02-07T11:38:00Z</dcterms:created>
  <dcterms:modified xsi:type="dcterms:W3CDTF">2023-02-07T14:46:00Z</dcterms:modified>
</cp:coreProperties>
</file>