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073C0435"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512195">
        <w:rPr>
          <w:bCs/>
          <w:sz w:val="28"/>
          <w:szCs w:val="28"/>
          <w:lang w:val="uk-UA"/>
        </w:rPr>
        <w:t>3</w:t>
      </w:r>
      <w:r w:rsidR="003734DC">
        <w:rPr>
          <w:bCs/>
          <w:sz w:val="28"/>
          <w:szCs w:val="28"/>
          <w:lang w:val="uk-UA"/>
        </w:rPr>
        <w:t>3</w:t>
      </w:r>
    </w:p>
    <w:p w14:paraId="76877F2D" w14:textId="385F1237"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512195">
        <w:rPr>
          <w:sz w:val="28"/>
          <w:szCs w:val="28"/>
          <w:lang w:val="uk-UA"/>
        </w:rPr>
        <w:t>23</w:t>
      </w:r>
      <w:r w:rsidR="002518CB" w:rsidRPr="00F01322">
        <w:rPr>
          <w:sz w:val="28"/>
          <w:szCs w:val="28"/>
          <w:lang w:val="uk-UA"/>
        </w:rPr>
        <w:t xml:space="preserve">» </w:t>
      </w:r>
      <w:r w:rsidR="00512195">
        <w:rPr>
          <w:sz w:val="28"/>
          <w:szCs w:val="28"/>
          <w:lang w:val="uk-UA"/>
        </w:rPr>
        <w:t>черв</w:t>
      </w:r>
      <w:r w:rsidR="00644EB4">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036D17A7" w14:textId="710B540B" w:rsidR="002B193C" w:rsidRDefault="00C54BD3" w:rsidP="00F54B67">
      <w:pPr>
        <w:jc w:val="center"/>
        <w:rPr>
          <w:sz w:val="28"/>
          <w:szCs w:val="28"/>
          <w:lang w:val="uk-UA"/>
        </w:rPr>
      </w:pPr>
      <w:r w:rsidRPr="00C54BD3">
        <w:rPr>
          <w:sz w:val="28"/>
          <w:szCs w:val="28"/>
          <w:lang w:val="uk-UA"/>
        </w:rPr>
        <w:t>ДК 021:2015 код 44110000-4 Конструкційні матеріали (залізо-бетонні вироби)</w:t>
      </w:r>
      <w:r w:rsidR="00EF2E83">
        <w:rPr>
          <w:sz w:val="28"/>
          <w:szCs w:val="28"/>
          <w:lang w:val="uk-UA"/>
        </w:rPr>
        <w:t xml:space="preserve"> </w:t>
      </w:r>
    </w:p>
    <w:p w14:paraId="2DB6803D" w14:textId="2E476150" w:rsidR="00012F78" w:rsidRPr="00F54B67" w:rsidRDefault="00C3338D" w:rsidP="00F54B67">
      <w:pPr>
        <w:jc w:val="center"/>
        <w:rPr>
          <w:sz w:val="28"/>
          <w:szCs w:val="28"/>
          <w:lang w:val="uk-UA"/>
        </w:rPr>
      </w:pPr>
      <w:r w:rsidRPr="00C3338D">
        <w:rPr>
          <w:sz w:val="28"/>
          <w:szCs w:val="28"/>
          <w:lang w:val="uk-UA"/>
        </w:rPr>
        <w:t>на 202</w:t>
      </w:r>
      <w:r w:rsidR="00754336">
        <w:rPr>
          <w:sz w:val="28"/>
          <w:szCs w:val="28"/>
          <w:lang w:val="uk-UA"/>
        </w:rPr>
        <w:t xml:space="preserve">3 </w:t>
      </w:r>
      <w:r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5F0C0E20" w:rsidR="00B234E0" w:rsidRPr="00173936" w:rsidRDefault="001E2631" w:rsidP="006F542E">
            <w:pPr>
              <w:jc w:val="both"/>
              <w:rPr>
                <w:sz w:val="28"/>
                <w:szCs w:val="28"/>
                <w:lang w:val="uk-UA"/>
              </w:rPr>
            </w:pPr>
            <w:r w:rsidRPr="001E2631">
              <w:rPr>
                <w:sz w:val="28"/>
                <w:szCs w:val="28"/>
                <w:lang w:val="uk-UA"/>
              </w:rPr>
              <w:t>ДК 021:2015 код 44110000-4 Конструкційні матеріали (залізо-бетонні вироби)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D8205A"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8205A"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8205A"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8205A"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8205A"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7C289595"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1E2631">
              <w:rPr>
                <w:b/>
                <w:i/>
                <w:iCs/>
                <w:color w:val="000000" w:themeColor="text1"/>
                <w:sz w:val="28"/>
                <w:szCs w:val="28"/>
                <w:lang w:val="uk-UA"/>
              </w:rPr>
              <w:t>03</w:t>
            </w:r>
            <w:r w:rsidR="00F3493E">
              <w:rPr>
                <w:b/>
                <w:i/>
                <w:iCs/>
                <w:color w:val="000000" w:themeColor="text1"/>
                <w:sz w:val="28"/>
                <w:szCs w:val="28"/>
                <w:lang w:val="uk-UA"/>
              </w:rPr>
              <w:t>.0</w:t>
            </w:r>
            <w:r w:rsidR="001E2631">
              <w:rPr>
                <w:b/>
                <w:i/>
                <w:iCs/>
                <w:color w:val="000000" w:themeColor="text1"/>
                <w:sz w:val="28"/>
                <w:szCs w:val="28"/>
                <w:lang w:val="uk-UA"/>
              </w:rPr>
              <w:t>7</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proofErr w:type="spellStart"/>
            <w:r w:rsidR="00093A7C">
              <w:rPr>
                <w:color w:val="000000"/>
                <w:sz w:val="28"/>
                <w:szCs w:val="28"/>
                <w:lang w:val="uk-UA"/>
              </w:rPr>
              <w:t>абз</w:t>
            </w:r>
            <w:proofErr w:type="spellEnd"/>
            <w:r w:rsidR="00093A7C">
              <w:rPr>
                <w:color w:val="000000"/>
                <w:sz w:val="28"/>
                <w:szCs w:val="28"/>
                <w:lang w:val="uk-UA"/>
              </w:rPr>
              <w:t xml:space="preserve">.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8205A"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77777777" w:rsidR="007152C7" w:rsidRP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13C13">
              <w:rPr>
                <w:sz w:val="28"/>
                <w:szCs w:val="28"/>
                <w:lang w:val="uk-UA"/>
              </w:rPr>
              <w:lastRenderedPageBreak/>
              <w:t>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5A37F315"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5F36D9" w:rsidRPr="005F36D9">
        <w:rPr>
          <w:b/>
          <w:bCs/>
          <w:sz w:val="28"/>
          <w:szCs w:val="28"/>
          <w:lang w:val="uk-UA"/>
        </w:rPr>
        <w:t>ДК 021:2015 код 44110000-4 Конструкційні матеріали (залізо-бетонні вироби)</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8205A"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7DCB0CD"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F32F60">
        <w:rPr>
          <w:rFonts w:ascii="Times New Roman" w:hAnsi="Times New Roman" w:cs="Times New Roman"/>
          <w:sz w:val="28"/>
          <w:szCs w:val="28"/>
          <w:lang w:val="uk-UA"/>
        </w:rPr>
        <w:t>товарів</w:t>
      </w:r>
      <w:bookmarkStart w:id="1" w:name="_GoBack"/>
      <w:bookmarkEnd w:id="1"/>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2"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8205A"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3E354366"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7B1FEE" w:rsidRPr="007B1FEE">
              <w:rPr>
                <w:sz w:val="28"/>
                <w:szCs w:val="28"/>
                <w:lang w:val="uk-UA"/>
              </w:rPr>
              <w:t>ДК 021:2015 код 44110000-4 Конструкційні матеріали</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2"/>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230C174E" w:rsidR="003A7552" w:rsidRPr="00A74AEF" w:rsidRDefault="006A5791" w:rsidP="002B392F">
            <w:pPr>
              <w:pStyle w:val="Default"/>
              <w:jc w:val="center"/>
            </w:pPr>
            <w:r>
              <w:t>У</w:t>
            </w:r>
            <w:r w:rsidRPr="006A5791">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w:t>
            </w:r>
            <w:r w:rsidRPr="00C41223">
              <w:rPr>
                <w:b/>
                <w:shd w:val="clear" w:color="auto" w:fill="FFFFFF"/>
              </w:rPr>
              <w:lastRenderedPageBreak/>
              <w:t xml:space="preserve">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D8205A"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659AC168" w14:textId="77777777" w:rsidR="00F82315" w:rsidRPr="00F82315" w:rsidRDefault="00F82315" w:rsidP="00F82315">
      <w:pPr>
        <w:ind w:firstLine="567"/>
        <w:jc w:val="right"/>
        <w:rPr>
          <w:rFonts w:eastAsia="Calibri"/>
          <w:sz w:val="28"/>
          <w:szCs w:val="28"/>
          <w:lang w:val="uk-UA" w:eastAsia="en-US"/>
        </w:rPr>
      </w:pPr>
      <w:r w:rsidRPr="00F82315">
        <w:rPr>
          <w:rFonts w:eastAsia="Calibri"/>
          <w:sz w:val="28"/>
          <w:szCs w:val="28"/>
          <w:lang w:val="uk-UA" w:eastAsia="en-US"/>
        </w:rPr>
        <w:lastRenderedPageBreak/>
        <w:t>ДОДАТОК 4</w:t>
      </w:r>
    </w:p>
    <w:p w14:paraId="7CFAA079" w14:textId="77777777" w:rsidR="00F82315" w:rsidRPr="00F82315" w:rsidRDefault="00F82315" w:rsidP="00F82315">
      <w:pPr>
        <w:ind w:firstLine="567"/>
        <w:jc w:val="right"/>
        <w:rPr>
          <w:rFonts w:eastAsia="Calibri"/>
          <w:sz w:val="28"/>
          <w:szCs w:val="28"/>
          <w:lang w:val="uk-UA" w:eastAsia="en-US"/>
        </w:rPr>
      </w:pPr>
      <w:r w:rsidRPr="00F82315">
        <w:rPr>
          <w:rFonts w:eastAsia="Calibri"/>
          <w:sz w:val="28"/>
          <w:szCs w:val="28"/>
          <w:lang w:val="uk-UA" w:eastAsia="en-US"/>
        </w:rPr>
        <w:t xml:space="preserve">тендерної документації </w:t>
      </w:r>
    </w:p>
    <w:p w14:paraId="35EB3F2A" w14:textId="77777777" w:rsidR="00F82315" w:rsidRPr="00F82315" w:rsidRDefault="00F82315" w:rsidP="00F82315">
      <w:pPr>
        <w:ind w:firstLine="567"/>
        <w:jc w:val="right"/>
        <w:rPr>
          <w:rFonts w:eastAsia="Calibri"/>
          <w:sz w:val="28"/>
          <w:szCs w:val="28"/>
          <w:lang w:val="uk-UA" w:eastAsia="en-US"/>
        </w:rPr>
      </w:pPr>
    </w:p>
    <w:p w14:paraId="1CE2F5D1" w14:textId="77777777" w:rsidR="00F82315" w:rsidRPr="00F82315" w:rsidRDefault="00F82315" w:rsidP="00F82315">
      <w:pPr>
        <w:jc w:val="center"/>
        <w:rPr>
          <w:b/>
          <w:sz w:val="28"/>
          <w:szCs w:val="28"/>
          <w:lang w:val="uk-UA"/>
        </w:rPr>
      </w:pPr>
      <w:r w:rsidRPr="00F82315">
        <w:rPr>
          <w:b/>
          <w:sz w:val="28"/>
          <w:szCs w:val="28"/>
          <w:lang w:val="uk-UA"/>
        </w:rPr>
        <w:t>Технічний опис предмету закупівлі ДК 021:2015 код 44110000-4 Конструкційні матеріали (залізо-бетонні вироби)</w:t>
      </w:r>
    </w:p>
    <w:p w14:paraId="49FD184F" w14:textId="77777777" w:rsidR="00F82315" w:rsidRPr="00F82315" w:rsidRDefault="00F82315" w:rsidP="00F82315">
      <w:pPr>
        <w:jc w:val="center"/>
        <w:rPr>
          <w:b/>
          <w:sz w:val="28"/>
          <w:szCs w:val="28"/>
          <w:lang w:val="uk-U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3969"/>
        <w:gridCol w:w="1559"/>
      </w:tblGrid>
      <w:tr w:rsidR="00F82315" w:rsidRPr="00F82315" w14:paraId="45CBDCDF" w14:textId="77777777" w:rsidTr="003C316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A702F" w14:textId="77777777" w:rsidR="00F82315" w:rsidRPr="00F82315" w:rsidRDefault="00F82315" w:rsidP="003C3167">
            <w:pPr>
              <w:jc w:val="center"/>
              <w:rPr>
                <w:b/>
                <w:bCs/>
                <w:sz w:val="28"/>
                <w:szCs w:val="28"/>
                <w:lang w:val="uk-UA"/>
              </w:rPr>
            </w:pPr>
            <w:r w:rsidRPr="00F82315">
              <w:rPr>
                <w:b/>
                <w:bCs/>
                <w:sz w:val="28"/>
                <w:szCs w:val="28"/>
                <w:lang w:val="uk-UA"/>
              </w:rPr>
              <w:t>№ з/п</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8CE7A9C" w14:textId="77777777" w:rsidR="00F82315" w:rsidRPr="00F82315" w:rsidRDefault="00F82315" w:rsidP="003C3167">
            <w:pPr>
              <w:jc w:val="center"/>
              <w:rPr>
                <w:b/>
                <w:bCs/>
                <w:sz w:val="28"/>
                <w:szCs w:val="28"/>
                <w:lang w:val="uk-UA"/>
              </w:rPr>
            </w:pPr>
            <w:r w:rsidRPr="00F82315">
              <w:rPr>
                <w:b/>
                <w:sz w:val="28"/>
                <w:szCs w:val="28"/>
                <w:lang w:val="uk-UA" w:eastAsia="en-US"/>
              </w:rPr>
              <w:t>Найменування</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42B413" w14:textId="77777777" w:rsidR="00F82315" w:rsidRPr="00F82315" w:rsidRDefault="00F82315" w:rsidP="003C3167">
            <w:pPr>
              <w:jc w:val="center"/>
              <w:rPr>
                <w:b/>
                <w:bCs/>
                <w:sz w:val="28"/>
                <w:szCs w:val="28"/>
                <w:lang w:val="uk-UA"/>
              </w:rPr>
            </w:pPr>
            <w:r w:rsidRPr="00F82315">
              <w:rPr>
                <w:b/>
                <w:sz w:val="28"/>
                <w:szCs w:val="28"/>
                <w:lang w:val="uk-UA" w:eastAsia="en-US"/>
              </w:rPr>
              <w:t>Технічні та якісні 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030B0E" w14:textId="77777777" w:rsidR="00F82315" w:rsidRPr="00F82315" w:rsidRDefault="00F82315" w:rsidP="003C3167">
            <w:pPr>
              <w:jc w:val="center"/>
              <w:rPr>
                <w:b/>
                <w:bCs/>
                <w:sz w:val="28"/>
                <w:szCs w:val="28"/>
                <w:lang w:val="uk-UA"/>
              </w:rPr>
            </w:pPr>
            <w:r w:rsidRPr="00F82315">
              <w:rPr>
                <w:b/>
                <w:sz w:val="28"/>
                <w:szCs w:val="28"/>
                <w:lang w:val="uk-UA" w:eastAsia="en-US"/>
              </w:rPr>
              <w:t>Кількість</w:t>
            </w:r>
          </w:p>
        </w:tc>
      </w:tr>
      <w:tr w:rsidR="00F82315" w:rsidRPr="00F82315" w14:paraId="672B2D3C" w14:textId="77777777" w:rsidTr="003C3167">
        <w:trPr>
          <w:trHeight w:val="1797"/>
        </w:trPr>
        <w:tc>
          <w:tcPr>
            <w:tcW w:w="568" w:type="dxa"/>
            <w:tcBorders>
              <w:top w:val="single" w:sz="4" w:space="0" w:color="auto"/>
              <w:left w:val="single" w:sz="4" w:space="0" w:color="auto"/>
              <w:bottom w:val="single" w:sz="4" w:space="0" w:color="auto"/>
              <w:right w:val="single" w:sz="4" w:space="0" w:color="auto"/>
            </w:tcBorders>
            <w:vAlign w:val="center"/>
            <w:hideMark/>
          </w:tcPr>
          <w:p w14:paraId="38E5271C" w14:textId="77777777" w:rsidR="00F82315" w:rsidRPr="00F82315" w:rsidRDefault="00F82315" w:rsidP="003C3167">
            <w:pPr>
              <w:jc w:val="center"/>
              <w:rPr>
                <w:sz w:val="28"/>
                <w:szCs w:val="28"/>
                <w:lang w:val="uk-UA"/>
              </w:rPr>
            </w:pPr>
            <w:r w:rsidRPr="00F82315">
              <w:rPr>
                <w:sz w:val="28"/>
                <w:szCs w:val="28"/>
                <w:lang w:val="uk-UA" w:eastAsia="en-US"/>
              </w:rPr>
              <w:t>1</w:t>
            </w:r>
          </w:p>
        </w:tc>
        <w:tc>
          <w:tcPr>
            <w:tcW w:w="3685" w:type="dxa"/>
            <w:tcBorders>
              <w:top w:val="single" w:sz="4" w:space="0" w:color="auto"/>
              <w:left w:val="single" w:sz="4" w:space="0" w:color="auto"/>
              <w:bottom w:val="single" w:sz="4" w:space="0" w:color="auto"/>
              <w:right w:val="single" w:sz="4" w:space="0" w:color="auto"/>
            </w:tcBorders>
            <w:hideMark/>
          </w:tcPr>
          <w:p w14:paraId="4A1A3DAE" w14:textId="77777777" w:rsidR="00F82315" w:rsidRPr="00F82315" w:rsidRDefault="00F82315" w:rsidP="003C3167">
            <w:pPr>
              <w:jc w:val="center"/>
              <w:rPr>
                <w:sz w:val="28"/>
                <w:szCs w:val="28"/>
                <w:lang w:val="uk-UA" w:eastAsia="en-US"/>
              </w:rPr>
            </w:pPr>
            <w:r w:rsidRPr="00F82315">
              <w:rPr>
                <w:sz w:val="28"/>
                <w:szCs w:val="28"/>
                <w:lang w:val="uk-UA" w:eastAsia="en-US"/>
              </w:rPr>
              <w:t>Плита залізо-бетонна</w:t>
            </w:r>
          </w:p>
          <w:p w14:paraId="6BBD1440" w14:textId="77777777" w:rsidR="00F82315" w:rsidRPr="00F82315" w:rsidRDefault="00F82315" w:rsidP="003C3167">
            <w:pPr>
              <w:jc w:val="center"/>
              <w:rPr>
                <w:sz w:val="28"/>
                <w:szCs w:val="28"/>
                <w:lang w:val="uk-UA" w:eastAsia="en-US"/>
              </w:rPr>
            </w:pPr>
          </w:p>
          <w:p w14:paraId="4FBEC57F" w14:textId="77777777" w:rsidR="00F82315" w:rsidRPr="00F82315" w:rsidRDefault="00F82315" w:rsidP="003C3167">
            <w:pPr>
              <w:jc w:val="center"/>
              <w:rPr>
                <w:sz w:val="28"/>
                <w:szCs w:val="28"/>
                <w:lang w:val="uk-UA"/>
              </w:rPr>
            </w:pPr>
            <w:r w:rsidRPr="00F82315">
              <w:rPr>
                <w:noProof/>
                <w:sz w:val="28"/>
                <w:szCs w:val="28"/>
                <w:lang w:val="uk-UA"/>
              </w:rPr>
              <w:drawing>
                <wp:inline distT="0" distB="0" distL="0" distR="0" wp14:anchorId="034F418D" wp14:editId="129270CD">
                  <wp:extent cx="2109896" cy="552376"/>
                  <wp:effectExtent l="0" t="0" r="508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664" cy="613577"/>
                          </a:xfrm>
                          <a:prstGeom prst="rect">
                            <a:avLst/>
                          </a:prstGeom>
                          <a:noFill/>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vAlign w:val="center"/>
            <w:hideMark/>
          </w:tcPr>
          <w:p w14:paraId="64AB88DA" w14:textId="77777777" w:rsidR="00F82315" w:rsidRPr="00F82315" w:rsidRDefault="00F82315" w:rsidP="003C3167">
            <w:pPr>
              <w:jc w:val="center"/>
              <w:rPr>
                <w:sz w:val="28"/>
                <w:szCs w:val="28"/>
                <w:lang w:val="uk-UA"/>
              </w:rPr>
            </w:pPr>
            <w:r w:rsidRPr="00F82315">
              <w:rPr>
                <w:sz w:val="28"/>
                <w:szCs w:val="28"/>
                <w:lang w:val="uk-UA" w:eastAsia="en-US"/>
              </w:rPr>
              <w:t>Довжина – 2м, висота – 0,5м, вага 65-75 кг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AE0CBB" w14:textId="77777777" w:rsidR="00F82315" w:rsidRPr="00F82315" w:rsidRDefault="00F82315" w:rsidP="003C3167">
            <w:pPr>
              <w:jc w:val="center"/>
              <w:rPr>
                <w:sz w:val="28"/>
                <w:szCs w:val="28"/>
                <w:lang w:val="uk-UA"/>
              </w:rPr>
            </w:pPr>
            <w:r w:rsidRPr="00F82315">
              <w:rPr>
                <w:sz w:val="28"/>
                <w:szCs w:val="28"/>
                <w:lang w:val="uk-UA"/>
              </w:rPr>
              <w:t>45 шт.</w:t>
            </w:r>
          </w:p>
        </w:tc>
      </w:tr>
      <w:tr w:rsidR="00F82315" w:rsidRPr="00F82315" w14:paraId="0440C028" w14:textId="77777777" w:rsidTr="003C3167">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E7345B0" w14:textId="77777777" w:rsidR="00F82315" w:rsidRPr="00F82315" w:rsidRDefault="00F82315" w:rsidP="003C3167">
            <w:pPr>
              <w:jc w:val="center"/>
              <w:rPr>
                <w:sz w:val="28"/>
                <w:szCs w:val="28"/>
                <w:lang w:val="uk-UA"/>
              </w:rPr>
            </w:pPr>
            <w:r w:rsidRPr="00F82315">
              <w:rPr>
                <w:sz w:val="28"/>
                <w:szCs w:val="28"/>
                <w:lang w:val="uk-UA"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7456A8C" w14:textId="77777777" w:rsidR="00F82315" w:rsidRPr="00F82315" w:rsidRDefault="00F82315" w:rsidP="003C3167">
            <w:pPr>
              <w:rPr>
                <w:sz w:val="28"/>
                <w:szCs w:val="28"/>
                <w:lang w:val="uk-UA" w:eastAsia="en-US"/>
              </w:rPr>
            </w:pPr>
            <w:r w:rsidRPr="00F82315">
              <w:rPr>
                <w:sz w:val="28"/>
                <w:szCs w:val="28"/>
                <w:lang w:val="uk-UA" w:eastAsia="en-US"/>
              </w:rPr>
              <w:t>Стовп бетонний рядовий з пазом</w:t>
            </w:r>
          </w:p>
          <w:p w14:paraId="2D154F35" w14:textId="77777777" w:rsidR="00F82315" w:rsidRPr="00F82315" w:rsidRDefault="00F82315" w:rsidP="003C3167">
            <w:pPr>
              <w:rPr>
                <w:sz w:val="28"/>
                <w:szCs w:val="28"/>
                <w:lang w:val="uk-UA"/>
              </w:rPr>
            </w:pPr>
          </w:p>
          <w:p w14:paraId="258C6FA2" w14:textId="77777777" w:rsidR="00F82315" w:rsidRPr="00F82315" w:rsidRDefault="00F82315" w:rsidP="003C3167">
            <w:pPr>
              <w:rPr>
                <w:sz w:val="28"/>
                <w:szCs w:val="28"/>
                <w:lang w:val="uk-UA"/>
              </w:rPr>
            </w:pPr>
            <w:r w:rsidRPr="00F82315">
              <w:rPr>
                <w:noProof/>
                <w:lang w:val="uk-UA"/>
              </w:rPr>
              <w:drawing>
                <wp:inline distT="0" distB="0" distL="0" distR="0" wp14:anchorId="16FE3342" wp14:editId="310119BC">
                  <wp:extent cx="2181225" cy="1762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762125"/>
                          </a:xfrm>
                          <a:prstGeom prst="rect">
                            <a:avLst/>
                          </a:prstGeom>
                          <a:noFill/>
                          <a:ln>
                            <a:noFill/>
                          </a:ln>
                        </pic:spPr>
                      </pic:pic>
                    </a:graphicData>
                  </a:graphic>
                </wp:inline>
              </w:drawing>
            </w:r>
          </w:p>
          <w:p w14:paraId="17A3695A" w14:textId="77777777" w:rsidR="00F82315" w:rsidRPr="00F82315" w:rsidRDefault="00F82315" w:rsidP="003C3167">
            <w:pPr>
              <w:rPr>
                <w:sz w:val="28"/>
                <w:szCs w:val="28"/>
                <w:lang w:val="uk-UA"/>
              </w:rPr>
            </w:pPr>
          </w:p>
          <w:p w14:paraId="730D70D1" w14:textId="77777777" w:rsidR="00F82315" w:rsidRPr="00F82315" w:rsidRDefault="00F82315" w:rsidP="003C3167">
            <w:pPr>
              <w:rPr>
                <w:sz w:val="28"/>
                <w:szCs w:val="28"/>
                <w:lang w:val="uk-UA"/>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5ADFAEF" w14:textId="77777777" w:rsidR="00F82315" w:rsidRPr="00F82315" w:rsidRDefault="00F82315" w:rsidP="003C3167">
            <w:pPr>
              <w:jc w:val="center"/>
              <w:rPr>
                <w:sz w:val="28"/>
                <w:szCs w:val="28"/>
                <w:lang w:val="uk-UA"/>
              </w:rPr>
            </w:pPr>
            <w:r w:rsidRPr="00F82315">
              <w:rPr>
                <w:sz w:val="28"/>
                <w:szCs w:val="28"/>
                <w:lang w:val="uk-UA"/>
              </w:rPr>
              <w:t>Висота – 3,3м, вага 80-100кг.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808A26" w14:textId="77777777" w:rsidR="00F82315" w:rsidRPr="00F82315" w:rsidRDefault="00F82315" w:rsidP="003C3167">
            <w:pPr>
              <w:jc w:val="center"/>
              <w:rPr>
                <w:sz w:val="28"/>
                <w:szCs w:val="28"/>
                <w:lang w:val="uk-UA"/>
              </w:rPr>
            </w:pPr>
            <w:r w:rsidRPr="00F82315">
              <w:rPr>
                <w:sz w:val="28"/>
                <w:szCs w:val="28"/>
                <w:lang w:val="uk-UA" w:eastAsia="en-US"/>
              </w:rPr>
              <w:t>13 шт.</w:t>
            </w:r>
          </w:p>
        </w:tc>
      </w:tr>
    </w:tbl>
    <w:p w14:paraId="431864AB" w14:textId="77777777" w:rsidR="00F82315" w:rsidRPr="00F82315" w:rsidRDefault="00F82315" w:rsidP="00F82315">
      <w:pPr>
        <w:jc w:val="both"/>
        <w:rPr>
          <w:lang w:val="uk-UA"/>
        </w:rPr>
      </w:pPr>
    </w:p>
    <w:p w14:paraId="19DADF6C" w14:textId="77777777" w:rsidR="00F82315" w:rsidRPr="00F82315" w:rsidRDefault="00F82315" w:rsidP="00F82315">
      <w:pPr>
        <w:ind w:left="-142"/>
        <w:jc w:val="both"/>
        <w:rPr>
          <w:sz w:val="28"/>
          <w:szCs w:val="28"/>
          <w:lang w:val="uk-UA"/>
        </w:rPr>
      </w:pPr>
      <w:r w:rsidRPr="00F82315">
        <w:rPr>
          <w:color w:val="000000"/>
          <w:sz w:val="28"/>
          <w:szCs w:val="28"/>
          <w:lang w:val="uk-UA"/>
        </w:rPr>
        <w:t>У вартість товару включено послуги з доставки за адресою: м. Вінниця, вул. Соборна, 87, вантажно-розвантажувальні роботи та монтаж.</w:t>
      </w:r>
    </w:p>
    <w:p w14:paraId="7CB9E9E7" w14:textId="77777777" w:rsidR="00F82315" w:rsidRPr="00F82315" w:rsidRDefault="00F82315" w:rsidP="00F82315">
      <w:pPr>
        <w:rPr>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6718CCAB"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093C" w14:textId="77777777" w:rsidR="009A5EE7" w:rsidRDefault="009A5EE7" w:rsidP="00DC55F7">
      <w:r>
        <w:separator/>
      </w:r>
    </w:p>
  </w:endnote>
  <w:endnote w:type="continuationSeparator" w:id="0">
    <w:p w14:paraId="7DAC7D73" w14:textId="77777777" w:rsidR="009A5EE7" w:rsidRDefault="009A5EE7"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B78F" w14:textId="77777777" w:rsidR="009A5EE7" w:rsidRDefault="009A5EE7" w:rsidP="00DC55F7">
      <w:r>
        <w:separator/>
      </w:r>
    </w:p>
  </w:footnote>
  <w:footnote w:type="continuationSeparator" w:id="0">
    <w:p w14:paraId="5C4A2E7C" w14:textId="77777777" w:rsidR="009A5EE7" w:rsidRDefault="009A5EE7"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59A0"/>
    <w:rsid w:val="00035E26"/>
    <w:rsid w:val="00036236"/>
    <w:rsid w:val="0004039C"/>
    <w:rsid w:val="00043CF0"/>
    <w:rsid w:val="000445FA"/>
    <w:rsid w:val="000452FE"/>
    <w:rsid w:val="000476CB"/>
    <w:rsid w:val="000503C2"/>
    <w:rsid w:val="00050428"/>
    <w:rsid w:val="0005280A"/>
    <w:rsid w:val="00053193"/>
    <w:rsid w:val="00053B78"/>
    <w:rsid w:val="0005447D"/>
    <w:rsid w:val="000567A6"/>
    <w:rsid w:val="00056AA4"/>
    <w:rsid w:val="0006008B"/>
    <w:rsid w:val="00063BF2"/>
    <w:rsid w:val="00067389"/>
    <w:rsid w:val="00067AE1"/>
    <w:rsid w:val="00076029"/>
    <w:rsid w:val="000765EE"/>
    <w:rsid w:val="00076695"/>
    <w:rsid w:val="0007713F"/>
    <w:rsid w:val="00080679"/>
    <w:rsid w:val="000834C9"/>
    <w:rsid w:val="00085EBB"/>
    <w:rsid w:val="000860C5"/>
    <w:rsid w:val="00087869"/>
    <w:rsid w:val="00087D44"/>
    <w:rsid w:val="00093A7C"/>
    <w:rsid w:val="000A500C"/>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7C4A"/>
    <w:rsid w:val="00107CBC"/>
    <w:rsid w:val="0011125D"/>
    <w:rsid w:val="00111C8A"/>
    <w:rsid w:val="001146B6"/>
    <w:rsid w:val="00114843"/>
    <w:rsid w:val="00114CC4"/>
    <w:rsid w:val="00115433"/>
    <w:rsid w:val="00117ECF"/>
    <w:rsid w:val="00117EE8"/>
    <w:rsid w:val="00120C9E"/>
    <w:rsid w:val="001222A7"/>
    <w:rsid w:val="00123C9D"/>
    <w:rsid w:val="00124B83"/>
    <w:rsid w:val="00125496"/>
    <w:rsid w:val="001256B1"/>
    <w:rsid w:val="00126479"/>
    <w:rsid w:val="00127773"/>
    <w:rsid w:val="00130AF0"/>
    <w:rsid w:val="00131412"/>
    <w:rsid w:val="00134E66"/>
    <w:rsid w:val="00135375"/>
    <w:rsid w:val="001370C2"/>
    <w:rsid w:val="00141128"/>
    <w:rsid w:val="0014158D"/>
    <w:rsid w:val="00141EF1"/>
    <w:rsid w:val="00142E89"/>
    <w:rsid w:val="00144A4B"/>
    <w:rsid w:val="00144AC8"/>
    <w:rsid w:val="00147163"/>
    <w:rsid w:val="00153D68"/>
    <w:rsid w:val="001603D9"/>
    <w:rsid w:val="001673E3"/>
    <w:rsid w:val="00172542"/>
    <w:rsid w:val="00172A6F"/>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6D2"/>
    <w:rsid w:val="0025475A"/>
    <w:rsid w:val="0025576B"/>
    <w:rsid w:val="002566C0"/>
    <w:rsid w:val="0025687C"/>
    <w:rsid w:val="00262A89"/>
    <w:rsid w:val="00262E85"/>
    <w:rsid w:val="00265B94"/>
    <w:rsid w:val="002667B2"/>
    <w:rsid w:val="002673F9"/>
    <w:rsid w:val="00267D0C"/>
    <w:rsid w:val="002707BE"/>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6338"/>
    <w:rsid w:val="002A7E51"/>
    <w:rsid w:val="002B193C"/>
    <w:rsid w:val="002B3126"/>
    <w:rsid w:val="002B392F"/>
    <w:rsid w:val="002B458F"/>
    <w:rsid w:val="002D6979"/>
    <w:rsid w:val="002E208C"/>
    <w:rsid w:val="002E287C"/>
    <w:rsid w:val="002E2F45"/>
    <w:rsid w:val="002E5A82"/>
    <w:rsid w:val="002E6940"/>
    <w:rsid w:val="002F0E4B"/>
    <w:rsid w:val="002F4FC7"/>
    <w:rsid w:val="002F57ED"/>
    <w:rsid w:val="00300368"/>
    <w:rsid w:val="00300D03"/>
    <w:rsid w:val="00301041"/>
    <w:rsid w:val="00301CDD"/>
    <w:rsid w:val="003024A0"/>
    <w:rsid w:val="00302B99"/>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3B7"/>
    <w:rsid w:val="00354470"/>
    <w:rsid w:val="00355F0E"/>
    <w:rsid w:val="00356F0A"/>
    <w:rsid w:val="00362777"/>
    <w:rsid w:val="00364275"/>
    <w:rsid w:val="00364D08"/>
    <w:rsid w:val="00365D9D"/>
    <w:rsid w:val="0037112D"/>
    <w:rsid w:val="003734DC"/>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9DC"/>
    <w:rsid w:val="003E6035"/>
    <w:rsid w:val="003F0578"/>
    <w:rsid w:val="003F135F"/>
    <w:rsid w:val="003F1605"/>
    <w:rsid w:val="003F1AE9"/>
    <w:rsid w:val="003F4089"/>
    <w:rsid w:val="003F47D0"/>
    <w:rsid w:val="003F489F"/>
    <w:rsid w:val="003F52F0"/>
    <w:rsid w:val="003F58CB"/>
    <w:rsid w:val="003F6B0F"/>
    <w:rsid w:val="003F7429"/>
    <w:rsid w:val="0040396D"/>
    <w:rsid w:val="004049B8"/>
    <w:rsid w:val="00404D27"/>
    <w:rsid w:val="00405963"/>
    <w:rsid w:val="00411EAF"/>
    <w:rsid w:val="0041459B"/>
    <w:rsid w:val="004213AE"/>
    <w:rsid w:val="004218EE"/>
    <w:rsid w:val="00421C23"/>
    <w:rsid w:val="0042455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1787"/>
    <w:rsid w:val="004E1B20"/>
    <w:rsid w:val="004E2F1D"/>
    <w:rsid w:val="004E30E0"/>
    <w:rsid w:val="004E54A2"/>
    <w:rsid w:val="004E574A"/>
    <w:rsid w:val="004E5DD7"/>
    <w:rsid w:val="004E7ED5"/>
    <w:rsid w:val="004F1800"/>
    <w:rsid w:val="004F47CB"/>
    <w:rsid w:val="004F498A"/>
    <w:rsid w:val="004F4A93"/>
    <w:rsid w:val="00501EFC"/>
    <w:rsid w:val="00502D0D"/>
    <w:rsid w:val="00502E7F"/>
    <w:rsid w:val="00503D63"/>
    <w:rsid w:val="0050411C"/>
    <w:rsid w:val="005046C0"/>
    <w:rsid w:val="00512195"/>
    <w:rsid w:val="00512D47"/>
    <w:rsid w:val="00514599"/>
    <w:rsid w:val="0051483B"/>
    <w:rsid w:val="00515D3B"/>
    <w:rsid w:val="005207BE"/>
    <w:rsid w:val="005214DD"/>
    <w:rsid w:val="00521D75"/>
    <w:rsid w:val="0052335A"/>
    <w:rsid w:val="005234CC"/>
    <w:rsid w:val="0052361F"/>
    <w:rsid w:val="005255FA"/>
    <w:rsid w:val="00525C8A"/>
    <w:rsid w:val="005277A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5A60"/>
    <w:rsid w:val="005E76E1"/>
    <w:rsid w:val="005F1A78"/>
    <w:rsid w:val="005F36D9"/>
    <w:rsid w:val="005F3F64"/>
    <w:rsid w:val="005F3F6C"/>
    <w:rsid w:val="00600EC8"/>
    <w:rsid w:val="00601FC4"/>
    <w:rsid w:val="00601FF2"/>
    <w:rsid w:val="00602DC0"/>
    <w:rsid w:val="006033EF"/>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6789"/>
    <w:rsid w:val="00677E8E"/>
    <w:rsid w:val="00680055"/>
    <w:rsid w:val="006820BF"/>
    <w:rsid w:val="00683BDB"/>
    <w:rsid w:val="00684BD9"/>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721D"/>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4424"/>
    <w:rsid w:val="007D5ADF"/>
    <w:rsid w:val="007D5E48"/>
    <w:rsid w:val="007D5E75"/>
    <w:rsid w:val="007D76B4"/>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07F63"/>
    <w:rsid w:val="00813C7C"/>
    <w:rsid w:val="00814265"/>
    <w:rsid w:val="008147CA"/>
    <w:rsid w:val="00817463"/>
    <w:rsid w:val="00824F2E"/>
    <w:rsid w:val="00824F84"/>
    <w:rsid w:val="00826CED"/>
    <w:rsid w:val="00826EF4"/>
    <w:rsid w:val="00827A93"/>
    <w:rsid w:val="00830BEE"/>
    <w:rsid w:val="0083157F"/>
    <w:rsid w:val="00832C42"/>
    <w:rsid w:val="00836169"/>
    <w:rsid w:val="0084162A"/>
    <w:rsid w:val="008428A5"/>
    <w:rsid w:val="00842B01"/>
    <w:rsid w:val="00844A9B"/>
    <w:rsid w:val="00852FA3"/>
    <w:rsid w:val="008558ED"/>
    <w:rsid w:val="00855B61"/>
    <w:rsid w:val="00861523"/>
    <w:rsid w:val="00862EF2"/>
    <w:rsid w:val="008638FB"/>
    <w:rsid w:val="008647E4"/>
    <w:rsid w:val="00870441"/>
    <w:rsid w:val="008711F9"/>
    <w:rsid w:val="00871349"/>
    <w:rsid w:val="008722B4"/>
    <w:rsid w:val="00874F76"/>
    <w:rsid w:val="0087627A"/>
    <w:rsid w:val="00877390"/>
    <w:rsid w:val="00882DE3"/>
    <w:rsid w:val="00885EE8"/>
    <w:rsid w:val="008862C5"/>
    <w:rsid w:val="00886FDE"/>
    <w:rsid w:val="00890B77"/>
    <w:rsid w:val="008925DB"/>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7CC"/>
    <w:rsid w:val="008C3BAF"/>
    <w:rsid w:val="008C4D25"/>
    <w:rsid w:val="008C69A4"/>
    <w:rsid w:val="008D031B"/>
    <w:rsid w:val="008D050F"/>
    <w:rsid w:val="008D110B"/>
    <w:rsid w:val="008D38CF"/>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A5C"/>
    <w:rsid w:val="0091434A"/>
    <w:rsid w:val="00915FCB"/>
    <w:rsid w:val="00917023"/>
    <w:rsid w:val="00920E13"/>
    <w:rsid w:val="00931861"/>
    <w:rsid w:val="00931E45"/>
    <w:rsid w:val="00936276"/>
    <w:rsid w:val="009367BE"/>
    <w:rsid w:val="00936AE0"/>
    <w:rsid w:val="0094155F"/>
    <w:rsid w:val="00942AD8"/>
    <w:rsid w:val="00943B99"/>
    <w:rsid w:val="00944B46"/>
    <w:rsid w:val="00945A5E"/>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5EE7"/>
    <w:rsid w:val="009A65CC"/>
    <w:rsid w:val="009B0026"/>
    <w:rsid w:val="009B10AF"/>
    <w:rsid w:val="009B19E0"/>
    <w:rsid w:val="009B4707"/>
    <w:rsid w:val="009B4E2B"/>
    <w:rsid w:val="009B5845"/>
    <w:rsid w:val="009B71DB"/>
    <w:rsid w:val="009C0335"/>
    <w:rsid w:val="009C253B"/>
    <w:rsid w:val="009C6FFE"/>
    <w:rsid w:val="009D4217"/>
    <w:rsid w:val="009D599A"/>
    <w:rsid w:val="009D5BED"/>
    <w:rsid w:val="009D5F87"/>
    <w:rsid w:val="009E2260"/>
    <w:rsid w:val="009E5739"/>
    <w:rsid w:val="009E5869"/>
    <w:rsid w:val="009E6BF0"/>
    <w:rsid w:val="009E727C"/>
    <w:rsid w:val="009E75BA"/>
    <w:rsid w:val="009F1229"/>
    <w:rsid w:val="009F20D2"/>
    <w:rsid w:val="009F36B5"/>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5028"/>
    <w:rsid w:val="00D10C07"/>
    <w:rsid w:val="00D12C25"/>
    <w:rsid w:val="00D136A9"/>
    <w:rsid w:val="00D1494D"/>
    <w:rsid w:val="00D14F12"/>
    <w:rsid w:val="00D14F6F"/>
    <w:rsid w:val="00D15A8B"/>
    <w:rsid w:val="00D160FB"/>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49C1"/>
    <w:rsid w:val="00D74ADC"/>
    <w:rsid w:val="00D77937"/>
    <w:rsid w:val="00D800EB"/>
    <w:rsid w:val="00D80619"/>
    <w:rsid w:val="00D81DB6"/>
    <w:rsid w:val="00D8205A"/>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4B1B"/>
    <w:rsid w:val="00DC0BE5"/>
    <w:rsid w:val="00DC0C60"/>
    <w:rsid w:val="00DC13D9"/>
    <w:rsid w:val="00DC55F7"/>
    <w:rsid w:val="00DC5D5E"/>
    <w:rsid w:val="00DC6DE5"/>
    <w:rsid w:val="00DC6E6F"/>
    <w:rsid w:val="00DD01B2"/>
    <w:rsid w:val="00DD06AF"/>
    <w:rsid w:val="00DD2DC8"/>
    <w:rsid w:val="00DD38A9"/>
    <w:rsid w:val="00DD3A01"/>
    <w:rsid w:val="00DD3E2E"/>
    <w:rsid w:val="00DD3F94"/>
    <w:rsid w:val="00DD4E71"/>
    <w:rsid w:val="00DD52A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4792C"/>
    <w:rsid w:val="00E51182"/>
    <w:rsid w:val="00E60086"/>
    <w:rsid w:val="00E606D3"/>
    <w:rsid w:val="00E60921"/>
    <w:rsid w:val="00E60D37"/>
    <w:rsid w:val="00E6366F"/>
    <w:rsid w:val="00E67B15"/>
    <w:rsid w:val="00E70D13"/>
    <w:rsid w:val="00E70EA2"/>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2F60"/>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E55"/>
    <w:rsid w:val="00F82157"/>
    <w:rsid w:val="00F82315"/>
    <w:rsid w:val="00F83DB6"/>
    <w:rsid w:val="00F85A71"/>
    <w:rsid w:val="00F8698B"/>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7E53-DD04-43EA-BF41-5A127F62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35</Pages>
  <Words>37968</Words>
  <Characters>21642</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839</cp:revision>
  <cp:lastPrinted>2023-05-03T13:03:00Z</cp:lastPrinted>
  <dcterms:created xsi:type="dcterms:W3CDTF">2018-11-19T10:13:00Z</dcterms:created>
  <dcterms:modified xsi:type="dcterms:W3CDTF">2023-06-23T07:35:00Z</dcterms:modified>
</cp:coreProperties>
</file>