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64" w:rsidRPr="005F28DC" w:rsidRDefault="003127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28DC">
        <w:rPr>
          <w:rFonts w:ascii="Times New Roman" w:hAnsi="Times New Roman" w:cs="Times New Roman"/>
          <w:sz w:val="28"/>
          <w:szCs w:val="28"/>
        </w:rPr>
        <w:t xml:space="preserve">Положеннями Постанови передбачено, що в разі, якщо для забезпечення потреби замовника в умовах воєнного стану на період воєнного стану вартість предмета закупівлі становить або перевищує вартісні межі застосування Закону з особливостями в частині проведення відкритих торгів та/або електронного каталогу, та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замовником, замовник застосовує виняток за Постановою і укладає прямий </w:t>
      </w:r>
      <w:bookmarkStart w:id="0" w:name="_GoBack"/>
      <w:bookmarkEnd w:id="0"/>
      <w:r w:rsidRPr="005F28DC">
        <w:rPr>
          <w:rFonts w:ascii="Times New Roman" w:hAnsi="Times New Roman" w:cs="Times New Roman"/>
          <w:sz w:val="28"/>
          <w:szCs w:val="28"/>
        </w:rPr>
        <w:t>договір. Відповідно до частини 1 статті 5 Закону України «Про природні монополії» від 20.04.2000 № 1682-ПІ регулюється діяльність суб’єктів природних монополій у таких сферах: транспортування теплової енергії. Відповідно до частини 2 статті 5 Закону України «Про природні монополії» від 20.04.2000 № 1682-Ш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Відповідно до Зведеного переліку суб’єктів природних монополій Антимонопольного комітету України станом на 3</w:t>
      </w:r>
      <w:r w:rsidRPr="005F28D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8DC">
        <w:rPr>
          <w:rFonts w:ascii="Times New Roman" w:hAnsi="Times New Roman" w:cs="Times New Roman"/>
          <w:sz w:val="28"/>
          <w:szCs w:val="28"/>
        </w:rPr>
        <w:t>.0</w:t>
      </w:r>
      <w:r w:rsidRPr="005F28D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F28DC">
        <w:rPr>
          <w:rFonts w:ascii="Times New Roman" w:hAnsi="Times New Roman" w:cs="Times New Roman"/>
          <w:sz w:val="28"/>
          <w:szCs w:val="28"/>
        </w:rPr>
        <w:t>.2023 (https://amcu.gov.ua/napryami/konkurenciya/arhiv-zvedenogo-pereliku-prirodnih-monopolij/zvedenij-perelik-prirodnih-monopolij-2023) Дочірнє підприємство «</w:t>
      </w:r>
      <w:r w:rsidRPr="005F28D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хідтеплоенерго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комунального підприємства «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Дніпротеплоенерго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Дніпровської обласної ради включено до зведеного переліку суб’єктів природних монополій на території м. Дніпро. У зв’язку з вищевикладеним послуги з постачання теплової енергії та постачання гарячої води можуть бути надані виключно Дочірнім підприємством «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С</w:t>
      </w:r>
      <w:r w:rsidRPr="005F28DC">
        <w:rPr>
          <w:rFonts w:ascii="Times New Roman" w:hAnsi="Times New Roman" w:cs="Times New Roman"/>
          <w:sz w:val="28"/>
          <w:szCs w:val="28"/>
        </w:rPr>
        <w:t>хідтеплоенерго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комунального підприємства «</w:t>
      </w:r>
      <w:proofErr w:type="spellStart"/>
      <w:r w:rsidRPr="005F28DC">
        <w:rPr>
          <w:rFonts w:ascii="Times New Roman" w:hAnsi="Times New Roman" w:cs="Times New Roman"/>
          <w:sz w:val="28"/>
          <w:szCs w:val="28"/>
        </w:rPr>
        <w:t>Дніпротеплоенерго</w:t>
      </w:r>
      <w:proofErr w:type="spellEnd"/>
      <w:r w:rsidRPr="005F28DC">
        <w:rPr>
          <w:rFonts w:ascii="Times New Roman" w:hAnsi="Times New Roman" w:cs="Times New Roman"/>
          <w:sz w:val="28"/>
          <w:szCs w:val="28"/>
        </w:rPr>
        <w:t>» Дніпровської обласної ради у зв’язку з відсутністю конкуренції з технічних причин.</w:t>
      </w:r>
    </w:p>
    <w:sectPr w:rsidR="00253C64" w:rsidRPr="005F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5"/>
    <w:rsid w:val="00253C64"/>
    <w:rsid w:val="003127B4"/>
    <w:rsid w:val="005F28DC"/>
    <w:rsid w:val="007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erhaben</dc:creator>
  <cp:keywords/>
  <dc:description/>
  <cp:lastModifiedBy>erhaben</cp:lastModifiedBy>
  <cp:revision>2</cp:revision>
  <dcterms:created xsi:type="dcterms:W3CDTF">2023-11-14T12:29:00Z</dcterms:created>
  <dcterms:modified xsi:type="dcterms:W3CDTF">2023-11-14T13:48:00Z</dcterms:modified>
</cp:coreProperties>
</file>