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3</w:t>
      </w:r>
    </w:p>
    <w:p>
      <w:pPr>
        <w:ind w:left="-426" w:right="-25" w:hanging="178"/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>ТЕХНІЧНА СПЕЦИФІКАЦІЯ</w:t>
      </w: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(ІНФОРМАЦІЯ ПРО НЕОБХІДНІ ТЕХНІЧНІ, ЯКІСНІ ТА КІЛЬКІСНІ ХАРАКТЕРИСТИКИ ПРЕДМЕТА ЗАКУПІВЛІ)</w:t>
      </w:r>
    </w:p>
    <w:p>
      <w:pPr>
        <w:spacing w:after="0" w:line="240" w:lineRule="auto"/>
        <w:jc w:val="center"/>
        <w:outlineLvl w:val="0"/>
        <w:widowControl w:val="0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на поставку</w:t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t>Предмет закупівлі: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eastAsia="Times New Roman" w:cs="Times New Roman CYR"/>
          <w:sz w:val="24"/>
          <w:szCs w:val="24"/>
          <w:lang w:val="uk-ua" w:eastAsia="ru-ru"/>
        </w:rPr>
        <w:t>Дизельне паливо (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 пластикових картках,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скретч-картках або талонах)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 xml:space="preserve"> код за ЄЗС ДК 021:2015 код 09130000-9 Нафта і дистиляти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r>
    </w:p>
    <w:p>
      <w:pPr>
        <w:spacing w:after="0" w:line="240" w:lineRule="auto"/>
        <w:jc w:val="center"/>
        <w:outlineLvl w:val="3"/>
        <w:widowControl w:val="0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val="uk-ua" w:eastAsia="zh-cn"/>
        </w:rPr>
        <w:t>09134200-9 «Дизельне паливо»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  <w:t>)</w:t>
      </w:r>
    </w:p>
    <w:tbl>
      <w:tblPr>
        <w:tblStyle w:val="NormalTable"/>
        <w:name w:val="Таблиця1"/>
        <w:tabOrder w:val="0"/>
        <w:jc w:val="left"/>
        <w:tblInd w:w="108" w:type="dxa"/>
        <w:tblW w:w="9822" w:type="dxa"/>
        <w:tblLook w:val="0000" w:firstRow="0" w:lastRow="0" w:firstColumn="0" w:lastColumn="0" w:noHBand="0" w:noVBand="0"/>
      </w:tblPr>
      <w:tblGrid>
        <w:gridCol w:w="538"/>
        <w:gridCol w:w="4844"/>
        <w:gridCol w:w="1077"/>
        <w:gridCol w:w="1211"/>
        <w:gridCol w:w="2152"/>
      </w:tblGrid>
      <w:tr>
        <w:trPr>
          <w:tblHeader w:val="0"/>
          <w:cantSplit w:val="0"/>
          <w:trHeight w:val="776" w:hRule="atLeast"/>
        </w:trPr>
        <w:tc>
          <w:tcPr>
            <w:tcW w:w="53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№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4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0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Од.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вим.</w:t>
            </w:r>
          </w:p>
        </w:tc>
        <w:tc>
          <w:tcPr>
            <w:tcW w:w="121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21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ДСТУ,</w:t>
            </w:r>
          </w:p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ГОСТ</w:t>
            </w:r>
          </w:p>
        </w:tc>
      </w:tr>
      <w:tr>
        <w:trPr>
          <w:tblHeader w:val="0"/>
          <w:cantSplit w:val="0"/>
          <w:trHeight w:val="162" w:hRule="atLeast"/>
        </w:trPr>
        <w:tc>
          <w:tcPr>
            <w:tcW w:w="538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7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1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2" w:type="dxa"/>
            <w:shd w:val="solid" w:color="C0C0C0" tmshd="1677721856, 0, 1263225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5</w:t>
            </w:r>
          </w:p>
        </w:tc>
      </w:tr>
      <w:tr>
        <w:trPr>
          <w:tblHeader w:val="0"/>
          <w:cantSplit w:val="0"/>
          <w:trHeight w:val="386" w:hRule="atLeast"/>
        </w:trPr>
        <w:tc>
          <w:tcPr>
            <w:tcW w:w="53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571" protected="0"/>
          </w:tcPr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715095571" protected="0"/>
          </w:tcPr>
          <w:p>
            <w:pPr>
              <w:ind w:right="-28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 CYR"/>
                <w:sz w:val="24"/>
                <w:szCs w:val="24"/>
                <w:lang w:val="uk-ua" w:eastAsia="ru-ru"/>
              </w:rPr>
              <w:t>Дизельне паливо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 пластикових картках,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r>
          </w:p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4"/>
                <w:szCs w:val="24"/>
                <w:lang w:val="uk-ua"/>
              </w:rPr>
              <w:t>скретч-картках або талонах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  <w:t xml:space="preserve">)   </w:t>
            </w: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r>
          </w:p>
        </w:tc>
        <w:tc>
          <w:tcPr>
            <w:tcW w:w="107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  <w:t>літр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val="uk-ua" w:eastAsia="ru-ru"/>
              </w:rPr>
            </w:r>
          </w:p>
        </w:tc>
        <w:tc>
          <w:tcPr>
            <w:tcW w:w="121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bCs/>
                <w:sz w:val="24"/>
                <w:szCs w:val="24"/>
                <w:lang w:val="uk-ua" w:eastAsia="ru-ru"/>
              </w:rPr>
              <w:t>3600</w:t>
            </w:r>
          </w:p>
        </w:tc>
        <w:tc>
          <w:tcPr>
            <w:tcW w:w="2152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ind w:right="175"/>
              <w:spacing w:after="0" w:line="240" w:lineRule="auto"/>
              <w:outlineLvl w:val="3"/>
              <w:widowControl w:val="0"/>
              <w:rPr>
                <w:rFonts w:ascii="Times New Roman CYR" w:hAnsi="Times New Roman CYR" w:eastAsia="Times New Roman" w:cs="Times New Roman CYR"/>
                <w:sz w:val="24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4"/>
                <w:lang w:val="uk-ua" w:eastAsia="ru-ru"/>
              </w:rPr>
              <w:t>ДСТУ 7688-2015</w:t>
            </w:r>
          </w:p>
        </w:tc>
      </w:tr>
    </w:tbl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>
      <w:pPr>
        <w:ind w:left="29" w:firstLine="538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p>
      <w:pPr>
        <w:spacing w:after="0" w:line="240" w:lineRule="auto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  <w:t>1. Вимоги до постачання та  якості товару</w:t>
      </w:r>
    </w:p>
    <w:p>
      <w:pPr>
        <w:spacing w:after="0" w:line="240" w:lineRule="auto"/>
        <w:outlineLvl w:val="3"/>
        <w:widowControl w:val="0"/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b/>
          <w:sz w:val="24"/>
          <w:szCs w:val="24"/>
          <w:lang w:val="uk-ua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1.1. </w:t>
      </w:r>
      <w:r>
        <w:rPr>
          <w:rFonts w:ascii="Times New Roman CYR" w:hAnsi="Times New Roman CYR" w:eastAsia="Times New Roman" w:cs="Times New Roman"/>
          <w:sz w:val="24"/>
          <w:szCs w:val="24"/>
        </w:rPr>
        <w:t>Наявність  мережі власних/партнерських/орендованих АЗС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,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які повинні бути розташовані на відстані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не більше 20 км від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місця розташування підпоряд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кованих  підрозділів Загону, що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знаходяться за наступними адресами: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r>
    </w:p>
    <w:tbl>
      <w:tblPr>
        <w:tblStyle w:val="NormalTable"/>
        <w:name w:val="Таблиця2"/>
        <w:tabOrder w:val="0"/>
        <w:jc w:val="center"/>
        <w:tblInd w:w="0" w:type="dxa"/>
        <w:tblW w:w="5778" w:type="dxa"/>
        <w:tblLook w:val="01E0" w:firstRow="1" w:lastRow="1" w:firstColumn="1" w:lastColumn="1" w:noHBand="0" w:noVBand="0"/>
      </w:tblPr>
      <w:tblGrid>
        <w:gridCol w:w="5778"/>
      </w:tblGrid>
      <w:tr>
        <w:trPr>
          <w:tblHeader w:val="0"/>
          <w:cantSplit w:val="0"/>
          <w:trHeight w:val="0" w:hRule="auto"/>
        </w:trPr>
        <w:tc>
          <w:tcPr>
            <w:tcW w:w="577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Адреси розташування підпорядкованих підрозділів Загону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Захисників України,4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Жабинського, 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Шевченка,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Чернігів, вул. Підводника Кітицина, 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Городня, вул. 1 Травня, 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Козелець, вул. Соборності, 88А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Ріпки, вул. Попудренка, 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Михайло-Коцюбинське,  вул. Миру, 23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 xml:space="preserve">смт Седнів, вул. Якова Лизогуба, 1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смт Олишівка, вул. Шкільна, 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7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5095571" protected="0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hAnsi="Times New Roman CYR" w:eastAsia="Times New Roman" w:cs="Times New Roman"/>
                <w:sz w:val="20"/>
                <w:szCs w:val="20"/>
                <w:lang w:val="uk-ua" w:eastAsia="ru-ru"/>
              </w:rPr>
              <w:t>м Остер, вул. Низова, 3А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eastAsia="ru-ru"/>
        </w:rPr>
        <w:t>т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u w:color="auto" w:val="single"/>
          <w:lang w:val="uk-ua" w:eastAsia="ru-ru"/>
        </w:rPr>
        <w:t>а не менше однієї АЗС в кожному обласному центрі по території України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кр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ім тимчасово окупованих територій Луганської та Донецької областей та території АР Крим)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.</w:t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В підтвердження наявності мережі АЗС, яка надає можливість здійснювати заправку транспорту підпорядкованих підрозділів Загону, учасник надає довідку в довільній формі про наявність мережі автозаправних станцій, в тому числі, що розташовані на відстані не більше 20 км. від місця розташування підпорядкованих підрозділів Загону, з обов’язковим зазначенням адреси розташування станцій.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        У випадку, якщо учасник планує постачання палива через АЗС, які не є його власністю, учасник надає документальне підтвердження права користування автозаправними станціями інших власників.</w:t>
      </w:r>
    </w:p>
    <w:p>
      <w:pPr>
        <w:spacing w:after="0" w:line="240" w:lineRule="auto"/>
        <w:jc w:val="both"/>
        <w:suppressAutoHyphens/>
        <w:hyphenationLines w:val="0"/>
        <w:outlineLvl w:val="3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outlineLvl w:val="3"/>
        <w:widowControl w:val="0"/>
        <w:tabs defTabSz="708">
          <w:tab w:val="left" w:pos="426" w:leader="none"/>
        </w:tabs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1.2. При поставці Товару обов’язково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 CYR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1.3. Термін дії Талонів повинен бути не менше одного року з моменту їх отримання з можливістю їх подальшого продовження на аналогічний термін дії.</w:t>
      </w:r>
      <w:r>
        <w:rPr>
          <w:rFonts w:ascii="Times New Roman CYR" w:hAnsi="Times New Roman CYR" w:eastAsia="Times New Roman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eastAsia="Times New Roman" w:cs="Times New Roman CYR"/>
          <w:sz w:val="24"/>
          <w:szCs w:val="24"/>
          <w:lang w:val="uk-ua"/>
        </w:rPr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1.4. При передачі Товару Продавець надає Покупцю: рахунок-фактуру, видаткову накладну та документи підтверджуючі якість товару. 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1.5. Невідповідність зазначених документів вимогам чинних нормативно-правових актів є підставою для відмови Покупця від прийняття Товару без відповідальності за такі дії. При цьому Товар вважається не поставленим.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1.6. У разі виявлення будь-яких недоліків товару протягом гарантійного строку Покупець має право вимагати від  Продавця замінити Товар на якісний протягом 15 (п’ятнадцять) календарних днів з моменту отримання відповідної претензії Покупця.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1.7.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1.8. Товар за своїми фізико-хімічними показниками повинні відповідати вимогам та нормам наведених ДСТУ.</w:t>
      </w:r>
    </w:p>
    <w:p>
      <w:pPr>
        <w:spacing w:after="0" w:line="240" w:lineRule="auto"/>
        <w:jc w:val="both"/>
        <w:rPr>
          <w:rFonts w:ascii="Times New Roman CYR" w:hAnsi="Times New Roman CYR" w:eastAsia="Times New Roman" w:cs="Times New Roman CYR"/>
          <w:sz w:val="24"/>
          <w:szCs w:val="24"/>
          <w:lang w:val="uk-ua"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val="uk-ua" w:eastAsia="ru-ru"/>
        </w:rPr>
        <w:t xml:space="preserve">1.9. Оплата здійснюється у безготівковій формі шляхом перерахування коштів на рахунок Продавця по факту поставки Товару на підставі видаткової накладної, протягом 20/двадцяти/ банківських днів з дня фактичного отримання Покупцем Товару, за умови наявності коштів на рахунку Покупця.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1.10. У разі затримки бюджетного фінансування Покупець проводить розрахунки за отриманий Товар протягом 10-ти банківських днів з дати надходження коштів на свій реєстраційний рахунок.</w:t>
      </w:r>
    </w:p>
    <w:p>
      <w:pPr>
        <w:spacing w:after="0" w:line="240" w:lineRule="auto"/>
        <w:jc w:val="both"/>
        <w:outlineLvl w:val="3"/>
        <w:widowControl w:val="0"/>
        <w:rPr>
          <w:rFonts w:ascii="Times New Roman CYR" w:hAnsi="Times New Roman CYR" w:eastAsia="Times New Roman" w:cs="Times New Roman"/>
          <w:sz w:val="24"/>
          <w:szCs w:val="24"/>
        </w:rPr>
      </w:pP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1.11. Строк постачання товару (пластикових карток,</w:t>
      </w:r>
      <w: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скретч-карток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 або талонів), 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 xml:space="preserve"> з моменту укладення договору </w:t>
      </w:r>
      <w:r>
        <w:rPr>
          <w:rFonts w:ascii="Times New Roman CYR" w:hAnsi="Times New Roman CYR" w:eastAsia="Times New Roman" w:cs="Times New Roman"/>
          <w:sz w:val="24"/>
          <w:szCs w:val="24"/>
        </w:rPr>
        <w:t>д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о </w:t>
      </w:r>
      <w:r/>
      <w:bookmarkStart w:id="0" w:name="_GoBack"/>
      <w:r/>
      <w:bookmarkEnd w:id="0"/>
      <w:r/>
      <w:r>
        <w:rPr>
          <w:rFonts w:ascii="Times New Roman CYR" w:hAnsi="Times New Roman CYR" w:eastAsia="Times New Roman" w:cs="Times New Roman"/>
          <w:sz w:val="24"/>
          <w:szCs w:val="24"/>
        </w:rPr>
        <w:t>31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eastAsia="Times New Roman" w:cs="Times New Roman"/>
          <w:sz w:val="24"/>
          <w:szCs w:val="24"/>
        </w:rPr>
        <w:t>травня 20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2</w:t>
      </w:r>
      <w:r>
        <w:rPr>
          <w:rFonts w:ascii="Times New Roman CYR" w:hAnsi="Times New Roman CYR" w:eastAsia="Times New Roman" w:cs="Times New Roman"/>
          <w:sz w:val="24"/>
          <w:szCs w:val="24"/>
          <w:lang w:val="uk-ua"/>
        </w:rPr>
        <w:t>4</w:t>
      </w:r>
      <w:r>
        <w:rPr>
          <w:rFonts w:ascii="Times New Roman CYR" w:hAnsi="Times New Roman CYR" w:eastAsia="Times New Roman" w:cs="Times New Roman"/>
          <w:sz w:val="24"/>
          <w:szCs w:val="24"/>
        </w:rPr>
        <w:t xml:space="preserve"> року</w:t>
      </w:r>
      <w:r>
        <w:rPr>
          <w:rFonts w:ascii="Times New Roman CYR" w:hAnsi="Times New Roman CYR" w:eastAsia="Times New Roman" w:cs="Times New Roman"/>
          <w:sz w:val="24"/>
          <w:szCs w:val="24"/>
        </w:rPr>
        <w:t>.</w:t>
      </w:r>
      <w:r>
        <w:rPr>
          <w:rFonts w:ascii="Times New Roman CYR" w:hAnsi="Times New Roman CYR" w:eastAsia="Times New Roman" w:cs="Times New Roman"/>
          <w:sz w:val="24"/>
          <w:szCs w:val="24"/>
        </w:rPr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lang w:val="uk-ua" w:eastAsia="ru-ru"/>
        </w:rPr>
      </w:r>
    </w:p>
    <w:p>
      <w:pPr>
        <w:rPr>
          <w:lang w:val="uk-ua"/>
        </w:rPr>
      </w:pPr>
      <w:r>
        <w:rPr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Calibri">
    <w:charset w:val="00"/>
    <w:family w:val="swiss"/>
    <w:pitch w:val="default"/>
  </w:font>
  <w:font w:name="Times New Roman CYR">
    <w:charset w:val="cc"/>
    <w:family w:val="roman"/>
    <w:pitch w:val="default"/>
  </w:font>
  <w:font w:name="Cambria">
    <w:charset w:val="00"/>
    <w:family w:val="roman"/>
    <w:pitch w:val="default"/>
  </w:font>
  <w:font w:name="Segoe U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5095571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6</cp:revision>
  <cp:lastPrinted>2023-04-18T12:38:00Z</cp:lastPrinted>
  <dcterms:created xsi:type="dcterms:W3CDTF">2023-06-19T11:47:00Z</dcterms:created>
  <dcterms:modified xsi:type="dcterms:W3CDTF">2024-05-07T14:26:11Z</dcterms:modified>
</cp:coreProperties>
</file>