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firstLine="426"/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>
      <w:pPr>
        <w:ind w:firstLine="426"/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(згідно з протоколом Уповноваженої особи № 127 від 08.05.2024)</w:t>
      </w:r>
    </w:p>
    <w:p>
      <w:pPr>
        <w:ind w:firstLine="284"/>
        <w:spacing w:after="0" w:line="240" w:lineRule="auto"/>
        <w:jc w:val="center"/>
        <w:rPr>
          <w:rFonts w:ascii="Times New Roman" w:hAnsi="Times New Roman" w:eastAsia="Arial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 предмету:</w:t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Дизельне паливо (в пластикових картках, скретч-картках або талонах)</w:t>
      </w:r>
      <w:r>
        <w:rPr>
          <w:rFonts w:ascii="Times New Roman" w:hAnsi="Times New Roman" w:eastAsia="Arial" w:cs="Times New Roman"/>
          <w:b/>
          <w:bCs/>
          <w:sz w:val="24"/>
          <w:szCs w:val="24"/>
          <w:lang w:eastAsia="ru-ru"/>
        </w:rPr>
        <w:t xml:space="preserve"> </w:t>
        <w:br w:type="textWrapping"/>
        <w:t xml:space="preserve">(код за ЄЗС ДК 021:2015: </w:t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>09130000-9 - Нафта і дистиляти</w:t>
      </w:r>
      <w:r>
        <w:rPr>
          <w:rFonts w:ascii="Times New Roman" w:hAnsi="Times New Roman" w:eastAsia="Arial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eastAsia="Arial" w:cs="Times New Roman"/>
          <w:b/>
          <w:sz w:val="24"/>
          <w:szCs w:val="24"/>
          <w:lang w:eastAsia="ru-ru"/>
        </w:rPr>
      </w:r>
    </w:p>
    <w:p>
      <w:pPr>
        <w:ind w:firstLine="426"/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</w:p>
    <w:p>
      <w:pPr>
        <w:ind w:firstLine="426"/>
        <w:spacing w:after="0" w:line="240" w:lineRule="auto"/>
        <w:jc w:val="both"/>
        <w:widowControl w:val="0"/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fill="ffffff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Згідно пункту 54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fill="ffffff"/>
        </w:rPr>
      </w:r>
    </w:p>
    <w:p>
      <w:pPr>
        <w:ind w:firstLine="426"/>
        <w:spacing w:after="0" w:line="240" w:lineRule="auto"/>
        <w:jc w:val="both"/>
        <w:widowControl w:val="0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fill="ffffff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».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r>
    </w:p>
    <w:p>
      <w:pPr>
        <w:ind w:firstLine="426"/>
        <w:spacing w:after="0" w:line="240" w:lineRule="auto"/>
        <w:jc w:val="both"/>
        <w:widowControl w:val="0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r>
    </w:p>
    <w:p>
      <w:pPr>
        <w:ind w:firstLine="426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Уповноваженою особою прийнято рішення внести зміни до тендерної документації.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Перелік змін до тендерної документації: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Внести зміни в тендерній документації в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Розділ 4. Подання та розкриття тендерної пропозиції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в пункті 1: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tbl>
      <w:tblPr>
        <w:tblStyle w:val="NormalTable"/>
        <w:name w:val="Таблиця1"/>
        <w:tabOrder w:val="0"/>
        <w:jc w:val="center"/>
        <w:tblInd w:w="0" w:type="dxa"/>
        <w:tblW w:w="9960" w:type="dxa"/>
        <w:tblLook w:val="0400" w:firstRow="0" w:lastRow="0" w:firstColumn="0" w:lastColumn="0" w:noHBand="0" w:noVBand="1"/>
      </w:tblPr>
      <w:tblGrid>
        <w:gridCol w:w="705"/>
        <w:gridCol w:w="2804"/>
        <w:gridCol w:w="6451"/>
      </w:tblGrid>
      <w:tr>
        <w:trPr>
          <w:tblHeader w:val="0"/>
          <w:cantSplit w:val="0"/>
          <w:trHeight w:val="549" w:hRule="atLeast"/>
        </w:trPr>
        <w:tc>
          <w:tcPr>
            <w:tcW w:w="705" w:type="dxa"/>
            <w:tmTcPr id="1715157127" protected="0"/>
          </w:tcPr>
          <w:p>
            <w:pPr>
              <w:spacing w:line="276" w:lineRule="auto"/>
              <w:jc w:val="center"/>
              <w:widowContro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2804" w:type="dxa"/>
            <w:tmTcPr id="1715157127" protected="0"/>
          </w:tcPr>
          <w:p>
            <w:pPr>
              <w:spacing w:line="276" w:lineRule="auto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451" w:type="dxa"/>
            <w:vAlign w:val="center"/>
            <w:tmTcPr id="1715157127" protected="0"/>
          </w:tcPr>
          <w:p>
            <w:pPr>
              <w:ind w:left="40" w:right="120" w:firstLine="270"/>
              <w:spacing w:line="276" w:lineRule="auto"/>
              <w:jc w:val="both"/>
              <w:widowControl w:val="0"/>
              <w:rPr>
                <w:rFonts w:ascii="Times New Roman" w:hAnsi="Times New Roman" w:eastAsia="Times New Roman" w:cs="Times New Roman"/>
                <w:highlight w:val="magent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/>
                <w:strike w:val="1"/>
                <w:sz w:val="24"/>
                <w:szCs w:val="24"/>
                <w:u w:color="auto" w:val="single"/>
              </w:rPr>
              <w:t>07 травня 2024 року, 08:00 год</w:t>
            </w:r>
            <w:r>
              <w:rPr>
                <w:rFonts w:ascii="Times New Roman" w:hAnsi="Times New Roman" w:eastAsia="Times New Roman" w:cs="Times New Roman"/>
                <w:b/>
                <w:i/>
                <w:strike w:val="1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  <w:r>
              <w:rPr>
                <w:rFonts w:ascii="Times New Roman" w:hAnsi="Times New Roman" w:eastAsia="Times New Roman" w:cs="Times New Roman"/>
                <w:highlight w:val="magenta"/>
                <w:sz w:val="24"/>
                <w:szCs w:val="24"/>
              </w:rPr>
            </w:r>
          </w:p>
          <w:p>
            <w:pPr>
              <w:ind w:left="40" w:firstLine="270"/>
              <w:spacing w:line="276" w:lineRule="auto"/>
              <w:jc w:val="both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>
            <w:pPr>
              <w:ind w:left="40" w:firstLine="270"/>
              <w:spacing w:line="276" w:lineRule="auto"/>
              <w:jc w:val="both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>
            <w:pPr>
              <w:ind w:left="40" w:firstLine="270"/>
              <w:spacing w:line="276" w:lineRule="auto"/>
              <w:jc w:val="both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trike w:val="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  <w:r>
              <w:rPr>
                <w:rFonts w:ascii="Times New Roman" w:hAnsi="Times New Roman" w:eastAsia="Times New Roman" w:cs="Times New Roman"/>
                <w:strike w:val="1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і викласти в такій редакції: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tbl>
      <w:tblPr>
        <w:tblStyle w:val="NormalTable"/>
        <w:name w:val="Таблиця2"/>
        <w:tabOrder w:val="0"/>
        <w:jc w:val="center"/>
        <w:tblInd w:w="0" w:type="dxa"/>
        <w:tblW w:w="9960" w:type="dxa"/>
        <w:tblLook w:val="0400" w:firstRow="0" w:lastRow="0" w:firstColumn="0" w:lastColumn="0" w:noHBand="0" w:noVBand="1"/>
      </w:tblPr>
      <w:tblGrid>
        <w:gridCol w:w="705"/>
        <w:gridCol w:w="2804"/>
        <w:gridCol w:w="6451"/>
      </w:tblGrid>
      <w:tr>
        <w:trPr>
          <w:tblHeader w:val="0"/>
          <w:cantSplit w:val="0"/>
          <w:trHeight w:val="549" w:hRule="atLeast"/>
        </w:trPr>
        <w:tc>
          <w:tcPr>
            <w:tcW w:w="705" w:type="dxa"/>
            <w:tmTcPr id="1715157127" protected="0"/>
          </w:tcPr>
          <w:p>
            <w:pPr>
              <w:spacing w:line="276" w:lineRule="auto"/>
              <w:jc w:val="center"/>
              <w:widowContro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2804" w:type="dxa"/>
            <w:tmTcPr id="1715157127" protected="0"/>
          </w:tcPr>
          <w:p>
            <w:pPr>
              <w:spacing w:line="276" w:lineRule="auto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6451" w:type="dxa"/>
            <w:vAlign w:val="center"/>
            <w:tmTcPr id="1715157127" protected="0"/>
          </w:tcPr>
          <w:p>
            <w:pPr>
              <w:ind w:left="40" w:right="120" w:firstLine="270"/>
              <w:spacing w:line="276" w:lineRule="auto"/>
              <w:jc w:val="both"/>
              <w:widowControl w:val="0"/>
              <w:rPr>
                <w:rFonts w:ascii="Times New Roman" w:hAnsi="Times New Roman" w:eastAsia="Times New Roman" w:cs="Times New Roman"/>
                <w:highlight w:val="magent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  <w:br w:type="textWrapping"/>
              <w:t xml:space="preserve">13 травня 2024 року до 08:00 год.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  <w:r>
              <w:rPr>
                <w:rFonts w:ascii="Times New Roman" w:hAnsi="Times New Roman" w:eastAsia="Times New Roman" w:cs="Times New Roman"/>
                <w:highlight w:val="magenta"/>
                <w:sz w:val="24"/>
                <w:szCs w:val="24"/>
              </w:rPr>
            </w:r>
          </w:p>
          <w:p>
            <w:pPr>
              <w:ind w:left="40" w:firstLine="270"/>
              <w:spacing w:line="276" w:lineRule="auto"/>
              <w:jc w:val="both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>
            <w:pPr>
              <w:ind w:left="40" w:firstLine="270"/>
              <w:spacing w:line="276" w:lineRule="auto"/>
              <w:jc w:val="both"/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>
            <w:pPr>
              <w:ind w:left="40" w:firstLine="270"/>
              <w:spacing w:line="276" w:lineRule="auto"/>
              <w:jc w:val="both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trike w:val="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  <w:r>
              <w:rPr>
                <w:rFonts w:ascii="Times New Roman" w:hAnsi="Times New Roman" w:eastAsia="Times New Roman" w:cs="Times New Roman"/>
                <w:strike w:val="1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hyphenationLines w:val="1"/>
        <w:tabs defTabSz="72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567"/>
        <w:spacing w:after="0" w:line="240" w:lineRule="auto"/>
        <w:jc w:val="both"/>
        <w:hyphenationLines w:val="1"/>
        <w:tabs defTabSz="72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Внести зміни (шляхом вилучення) в Додаток 2 до тендерної документації в Розділ 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Інша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інформація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встановлена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відповідно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до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законодавства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(для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Учасників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uk-ua"/>
        </w:rPr>
        <w:t>—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юридичних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осіб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фізичних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осіб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та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фізичних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осіб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uk-ua"/>
        </w:rPr>
        <w:t xml:space="preserve"> —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п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ідприємців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  <w:t>).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</w:r>
    </w:p>
    <w:p>
      <w:pPr>
        <w:ind w:firstLine="567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uk-ua"/>
        </w:rPr>
      </w:r>
    </w:p>
    <w:tbl>
      <w:tblPr>
        <w:tblStyle w:val="TableGrid"/>
        <w:name w:val="Таблиця7"/>
        <w:tabOrder w:val="0"/>
        <w:jc w:val="center"/>
        <w:tblInd w:w="0" w:type="dxa"/>
        <w:tblW w:w="9619" w:type="dxa"/>
        <w:tblLook w:val="0400" w:firstRow="0" w:lastRow="0" w:firstColumn="0" w:lastColumn="0" w:noHBand="0" w:noVBand="1"/>
      </w:tblPr>
      <w:tblGrid>
        <w:gridCol w:w="400"/>
        <w:gridCol w:w="9219"/>
      </w:tblGrid>
      <w:tr>
        <w:trPr>
          <w:tblHeader w:val="0"/>
          <w:cantSplit w:val="0"/>
          <w:trHeight w:val="124" w:hRule="atLeast"/>
        </w:trPr>
        <w:tc>
          <w:tcPr>
            <w:tcW w:w="9619" w:type="dxa"/>
            <w:gridSpan w:val="2"/>
            <w:shd w:val="solid" w:color="CCCCCC" tmshd="1677721856, 0, 13421772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807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 w:right="120" w:hanging="2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Білорусь/ Ісламської Республіки Іран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>
            <w:pPr>
              <w:numPr>
                <w:ilvl w:val="0"/>
                <w:numId w:val="5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8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посвідчення біженця чи документ, що підтверджує надання притулку в Україні,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3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1"/>
              </w:numPr>
              <w:ind w:left="283" w:hanging="283"/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>
            <w:pPr>
              <w:ind w:left="283" w:hanging="283"/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2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bCs/>
                <w:strike w:val="1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trike w:val="1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trike w:val="1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trike w:val="1"/>
                <w:color w:val="ff0000"/>
                <w:sz w:val="24"/>
                <w:szCs w:val="24"/>
                <w:lang w:bidi="ru-ru"/>
              </w:rPr>
              <w:t>Копія відповідної ліцензії, виданої Учаснику Міністерством охорони здоров’я України, на право здійснення медичної практики.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284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і викласти в такій редакції:</w:t>
      </w:r>
    </w:p>
    <w:tbl>
      <w:tblPr>
        <w:tblStyle w:val="TableGrid"/>
        <w:name w:val="Таблиця8"/>
        <w:tabOrder w:val="0"/>
        <w:jc w:val="left"/>
        <w:tblInd w:w="0" w:type="dxa"/>
        <w:tblW w:w="9619" w:type="dxa"/>
        <w:tblLook w:val="0400" w:firstRow="0" w:lastRow="0" w:firstColumn="0" w:lastColumn="0" w:noHBand="0" w:noVBand="1"/>
      </w:tblPr>
      <w:tblGrid>
        <w:gridCol w:w="400"/>
        <w:gridCol w:w="9219"/>
      </w:tblGrid>
      <w:tr>
        <w:trPr>
          <w:tblHeader w:val="0"/>
          <w:cantSplit w:val="0"/>
          <w:trHeight w:val="124" w:hRule="atLeast"/>
        </w:trPr>
        <w:tc>
          <w:tcPr>
            <w:tcW w:w="9619" w:type="dxa"/>
            <w:gridSpan w:val="2"/>
            <w:shd w:val="solid" w:color="CCCCCC" tmshd="1677721856, 0, 13421772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807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 w:right="120" w:hanging="2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400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ind w:left="100"/>
              <w:spacing w:before="240"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9219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Білорусь/ Ісламської Республіки Іран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>
            <w:pPr>
              <w:numPr>
                <w:ilvl w:val="0"/>
                <w:numId w:val="5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8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посвідчення біженця чи документ, що підтверджує надання притулку в Україні,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3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>
            <w:p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1"/>
              </w:numPr>
              <w:ind w:left="283" w:hanging="283"/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>
            <w:pPr>
              <w:ind w:left="283" w:hanging="283"/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або</w:t>
            </w:r>
          </w:p>
          <w:p>
            <w:pPr>
              <w:numPr>
                <w:ilvl w:val="0"/>
                <w:numId w:val="2"/>
              </w:numPr>
              <w:ind w:left="283" w:hanging="283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>
      <w:pPr>
        <w:ind w:firstLine="284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r>
    </w:p>
    <w:p>
      <w:pPr>
        <w:ind w:firstLine="567"/>
        <w:spacing w:after="0" w:line="240" w:lineRule="auto"/>
        <w:jc w:val="both"/>
        <w:hyphenationLines w:val="1"/>
        <w:tabs defTabSz="72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Внести зміни (шляхом вилучення) в Додаток 3 до тендерної документації в    Розділ 1. Вимоги до постачання та якості товару:</w:t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r>
    </w:p>
    <w:p>
      <w:pPr>
        <w:spacing w:after="0" w:line="240" w:lineRule="auto"/>
        <w:hyphenationLines w:val="1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</w:rPr>
        <w:t>1. Вимоги до постачання та  якості товару</w:t>
      </w:r>
    </w:p>
    <w:p>
      <w:pPr>
        <w:spacing w:after="0" w:line="240" w:lineRule="auto"/>
        <w:hyphenationLines w:val="1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</w:rPr>
      </w:r>
    </w:p>
    <w:p>
      <w:pPr>
        <w:spacing w:line="240" w:lineRule="auto"/>
        <w:jc w:val="both"/>
        <w:hyphenationLines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Наявність  мережі власних/партнерських/орендованих АЗС</w:t>
      </w:r>
      <w:r>
        <w:rPr>
          <w:rFonts w:ascii="Times New Roman CYR" w:hAnsi="Times New Roman CYR" w:eastAsia="Times New Roman" w:cs="Times New Roman"/>
          <w:sz w:val="24"/>
          <w:szCs w:val="24"/>
        </w:rPr>
        <w:t>,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які повинні бути розташовані на відстані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більше 20 км від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місця розташування підпоряд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кованих  підрозділів Загону, що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знаходяться за наступними адресами: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Style w:val="NormalTable"/>
        <w:name w:val="Таблиця11"/>
        <w:tabOrder w:val="0"/>
        <w:jc w:val="center"/>
        <w:tblInd w:w="0" w:type="dxa"/>
        <w:tblW w:w="5778" w:type="dxa"/>
        <w:tblLook w:val="01E0" w:firstRow="1" w:lastRow="1" w:firstColumn="1" w:lastColumn="1" w:noHBand="0" w:noVBand="0"/>
      </w:tblPr>
      <w:tblGrid>
        <w:gridCol w:w="5778"/>
      </w:tblGrid>
      <w:tr>
        <w:trPr>
          <w:tblHeader w:val="0"/>
          <w:cantSplit w:val="0"/>
          <w:trHeight w:val="0" w:hRule="auto"/>
        </w:trPr>
        <w:tc>
          <w:tcPr>
            <w:tcW w:w="577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Адреси розташування підпорядкованих підрозділів Загону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Захисників України,4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Жабинського, 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Шевченка,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Підводника Кітицина, 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Городня, вул. 1 Травня, 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Козелець, вул. Соборності, 88А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Ріпки, вул. Попудренка, 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Михайло-Коцюбинське,  вул. Миру, 23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 xml:space="preserve">смт Седнів, вул. Якова Лизогуба, 1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Олишівка, вул. Шкільна,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Остер, вул. Низова, 3А</w:t>
            </w:r>
          </w:p>
        </w:tc>
      </w:tr>
    </w:tbl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ru-ru" w:eastAsia="ru-ru"/>
        </w:rPr>
        <w:t>т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eastAsia="ru-ru"/>
        </w:rPr>
        <w:t>а не менше однієї АЗС в кожному обласному центрі по території України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(крім тимчасово окупованих територій Луганської та Донецької областей та території АР Крим).</w:t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i/>
          <w:strike w:val="1"/>
          <w:color w:val="ff0000"/>
          <w:sz w:val="24"/>
          <w:szCs w:val="24"/>
          <w:lang w:eastAsia="uk-ua" w:bidi="uk-ua"/>
        </w:rPr>
      </w:pPr>
      <w:r>
        <w:rPr>
          <w:rFonts w:ascii="Times New Roman" w:hAnsi="Times New Roman" w:eastAsia="Times New Roman" w:cs="Times New Roman"/>
          <w:b/>
          <w:i/>
          <w:strike w:val="1"/>
          <w:color w:val="ff0000"/>
          <w:sz w:val="24"/>
          <w:szCs w:val="24"/>
          <w:lang w:eastAsia="uk-ua" w:bidi="uk-ua"/>
        </w:rPr>
        <w:t>В підтвердження наявності мережі АЗС, яка надає можливість здійснювати заправку транспорту підпорядкованих підрозділів Загону, учасник надає довідку в довільній формі про наявність мережі автозаправних станцій, в тому числі, що розташовані на відстані не більше 20 км. від місця розташування підпорядкованих підрозділів Загону, з обов’язковим зазначенням адреси розташування станцій.</w:t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i/>
          <w:strike w:val="1"/>
          <w:color w:val="ff0000"/>
          <w:sz w:val="24"/>
          <w:szCs w:val="24"/>
          <w:lang w:eastAsia="uk-ua" w:bidi="uk-ua"/>
        </w:rPr>
      </w:pPr>
      <w:r>
        <w:rPr>
          <w:rFonts w:ascii="Times New Roman" w:hAnsi="Times New Roman" w:eastAsia="Times New Roman" w:cs="Times New Roman"/>
          <w:i/>
          <w:strike w:val="1"/>
          <w:color w:val="ff0000"/>
          <w:sz w:val="24"/>
          <w:szCs w:val="24"/>
          <w:lang w:eastAsia="uk-ua" w:bidi="uk-ua"/>
        </w:rPr>
        <w:t xml:space="preserve">         У випадку, якщо учасник планує постачання палива через АЗС, які не є його власністю, учасник надає документальне підтвердження права користування автозаправними станціями інших власників.</w:t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r>
    </w:p>
    <w:p>
      <w:pPr>
        <w:spacing w:after="0" w:line="240" w:lineRule="auto"/>
        <w:jc w:val="both"/>
        <w:hyphenationLines w:val="1"/>
        <w:outlineLvl w:val="3"/>
        <w:widowControl w:val="0"/>
        <w:tabs defTabSz="708">
          <w:tab w:val="left" w:pos="426" w:leader="none"/>
        </w:tabs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1.2. При поставці Товару обов’язково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1.3. Термін дії Талонів повинен бути не менше одного року з моменту їх отримання з можливістю їх подальшого продовження на аналогічний термін дії.</w:t>
      </w:r>
      <w:r>
        <w:rPr>
          <w:rFonts w:ascii="Times New Roman CYR" w:hAnsi="Times New Roman CYR" w:eastAsia="Times New Roman" w:cs="Times New Roman CYR"/>
          <w:sz w:val="24"/>
          <w:szCs w:val="24"/>
        </w:rPr>
        <w:t xml:space="preserve"> </w:t>
      </w:r>
      <w:r>
        <w:rPr>
          <w:rFonts w:ascii="Times New Roman CYR" w:hAnsi="Times New Roman CYR" w:eastAsia="Times New Roman" w:cs="Times New Roman CYR"/>
          <w:sz w:val="24"/>
          <w:szCs w:val="24"/>
        </w:rPr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 xml:space="preserve">1.4. При передачі Товару Продавець надає Покупцю: рахунок-фактуру, видаткову накладну та документи підтверджуючі якість товару. 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1.5. 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1.6. У разі виявлення будь-яких недоліків товару протягом гарантійного строку Покупець має право вимагати від  Продавця замінити Товар на якісний протягом 15 (п’ятнадцять) календарних днів з моменту отримання відповідної претензії Покупця.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1.7.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1.8. Товар за своїми фізико-хімічними показниками повинні відповідати вимогам та нормам наведених ДСТУ.</w:t>
      </w:r>
    </w:p>
    <w:p>
      <w:pPr>
        <w:spacing w:after="0" w:line="240" w:lineRule="auto"/>
        <w:jc w:val="both"/>
        <w:hyphenationLines w:val="1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  <w:t xml:space="preserve">1.9. Оплата здійснюється у безготівковій формі шляхом перерахування коштів на рахунок Продавця по факту поставки Товару на підставі видаткової накладної, протягом 20/двадцяти/ банківських днів з дня фактичного отримання Покупцем Товару, за умови наявності коштів на рахунку Покупця. </w:t>
      </w:r>
    </w:p>
    <w:p>
      <w:pPr>
        <w:spacing w:after="0" w:line="240" w:lineRule="auto"/>
        <w:jc w:val="both"/>
        <w:hyphenationLines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1.10. У разі затримки бюджетного фінансування Покупець проводить розрахунки за отриманий Товар протягом 10-ти банківських днів з дати надходження коштів на свій реєстраційний рахунок.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ru-ru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1.11. Строк постачання товару (пластикових карток,</w:t>
      </w:r>
      <w:r>
        <w:rPr>
          <w:lang w:val="ru-ru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</w:rPr>
        <w:t>скретч-карток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або талонів), 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з моменту укладення договору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д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31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травня 20</w:t>
      </w:r>
      <w:r>
        <w:rPr>
          <w:rFonts w:ascii="Times New Roman CYR" w:hAnsi="Times New Roman CYR" w:eastAsia="Times New Roman" w:cs="Times New Roman"/>
          <w:sz w:val="24"/>
          <w:szCs w:val="24"/>
        </w:rPr>
        <w:t>2</w:t>
      </w:r>
      <w:r>
        <w:rPr>
          <w:rFonts w:ascii="Times New Roman CYR" w:hAnsi="Times New Roman CYR" w:eastAsia="Times New Roman" w:cs="Times New Roman"/>
          <w:sz w:val="24"/>
          <w:szCs w:val="24"/>
        </w:rPr>
        <w:t>4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 року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.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ru-ru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</w:r>
    </w:p>
    <w:p>
      <w:pPr>
        <w:ind w:firstLine="284"/>
        <w:spacing w:after="0" w:line="240" w:lineRule="auto"/>
        <w:jc w:val="both"/>
        <w:hyphenationLines w:val="1"/>
        <w:tabs defTabSz="720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і викласти в такій редакції:</w:t>
      </w:r>
    </w:p>
    <w:p>
      <w:pPr>
        <w:spacing w:after="0" w:line="240" w:lineRule="auto"/>
        <w:hyphenationLines w:val="1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</w:rPr>
      </w:r>
    </w:p>
    <w:p>
      <w:pPr>
        <w:spacing w:after="0" w:line="240" w:lineRule="auto"/>
        <w:hyphenationLines w:val="1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</w:rPr>
        <w:t>1. Вимоги до постачання та  якості товару</w:t>
      </w:r>
    </w:p>
    <w:p>
      <w:pPr>
        <w:spacing w:after="0" w:line="240" w:lineRule="auto"/>
        <w:hyphenationLines w:val="1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</w:rPr>
      </w:r>
    </w:p>
    <w:p>
      <w:pPr>
        <w:spacing w:line="240" w:lineRule="auto"/>
        <w:jc w:val="both"/>
        <w:hyphenationLines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Наявність  мережі власних/партнерських/орендованих АЗС</w:t>
      </w:r>
      <w:r>
        <w:rPr>
          <w:rFonts w:ascii="Times New Roman CYR" w:hAnsi="Times New Roman CYR" w:eastAsia="Times New Roman" w:cs="Times New Roman"/>
          <w:sz w:val="24"/>
          <w:szCs w:val="24"/>
        </w:rPr>
        <w:t>,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які повинні бути розташовані на відстані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більше 20 км від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місця розташування підпоряд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кованих  підрозділів Загону, що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знаходяться за наступними адресами: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Style w:val="NormalTable"/>
        <w:name w:val="Таблиця10"/>
        <w:tabOrder w:val="0"/>
        <w:jc w:val="center"/>
        <w:tblInd w:w="0" w:type="dxa"/>
        <w:tblW w:w="5778" w:type="dxa"/>
        <w:tblLook w:val="01E0" w:firstRow="1" w:lastRow="1" w:firstColumn="1" w:lastColumn="1" w:noHBand="0" w:noVBand="0"/>
      </w:tblPr>
      <w:tblGrid>
        <w:gridCol w:w="5778"/>
      </w:tblGrid>
      <w:tr>
        <w:trPr>
          <w:tblHeader w:val="0"/>
          <w:cantSplit w:val="0"/>
          <w:trHeight w:val="0" w:hRule="auto"/>
        </w:trPr>
        <w:tc>
          <w:tcPr>
            <w:tcW w:w="577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Адреси розташування підпорядкованих підрозділів Загону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Захисників України,4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Жабинського, 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Шевченка,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Чернігів, вул. Підводника Кітицина, 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Городня, вул. 1 Травня, 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Козелець, вул. Соборності, 88А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Ріпки, вул. Попудренка, 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Михайло-Коцюбинське,  вул. Миру, 23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 xml:space="preserve">смт Седнів, вул. Якова Лизогуба, 1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смт Олишівка, вул. Шкільна,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157127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eastAsia="ru-ru"/>
              </w:rPr>
              <w:t>м Остер, вул. Низова, 3А</w:t>
            </w:r>
          </w:p>
        </w:tc>
      </w:tr>
    </w:tbl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ru-ru" w:eastAsia="ru-ru"/>
        </w:rPr>
        <w:t>т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eastAsia="ru-ru"/>
        </w:rPr>
        <w:t>а не менше однієї АЗС в кожному обласному центрі по території України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(крім тимчасово окупованих територій Луганської та Донецької областей та території АР Крим).</w:t>
      </w: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r>
    </w:p>
    <w:p>
      <w:pPr>
        <w:spacing w:after="0" w:line="240" w:lineRule="auto"/>
        <w:jc w:val="both"/>
        <w:hyphenationLines w:val="1"/>
        <w:outlineLvl w:val="3"/>
        <w:widowControl w:val="0"/>
        <w:tabs defTabSz="708">
          <w:tab w:val="left" w:pos="426" w:leader="none"/>
        </w:tabs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1.2. При поставці Товару обов’язково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1.3. Термін дії Талонів повинен бути не менше одного року з моменту їх отримання з можливістю їх подальшого продовження на аналогічний термін дії.</w:t>
      </w:r>
      <w:r>
        <w:rPr>
          <w:rFonts w:ascii="Times New Roman CYR" w:hAnsi="Times New Roman CYR" w:eastAsia="Times New Roman" w:cs="Times New Roman CYR"/>
          <w:sz w:val="24"/>
          <w:szCs w:val="24"/>
        </w:rPr>
        <w:t xml:space="preserve"> </w:t>
      </w:r>
      <w:r>
        <w:rPr>
          <w:rFonts w:ascii="Times New Roman CYR" w:hAnsi="Times New Roman CYR" w:eastAsia="Times New Roman" w:cs="Times New Roman CYR"/>
          <w:sz w:val="24"/>
          <w:szCs w:val="24"/>
        </w:rPr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 xml:space="preserve">1.4. При передачі Товару Продавець надає Покупцю: рахунок-фактуру, видаткову накладну та документи підтверджуючі якість товару. 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1.5. 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1.6. У разі виявлення будь-яких недоліків товару протягом гарантійного строку Покупець має право вимагати від  Продавця замінити Товар на якісний протягом 15 (п’ятнадцять) календарних днів з моменту отримання відповідної претензії Покупця.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1.7.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1.8. Товар за своїми фізико-хімічними показниками повинні відповідати вимогам та нормам наведених ДСТУ.</w:t>
      </w:r>
    </w:p>
    <w:p>
      <w:pPr>
        <w:spacing w:after="0" w:line="240" w:lineRule="auto"/>
        <w:jc w:val="both"/>
        <w:hyphenationLines w:val="1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  <w:t xml:space="preserve">1.9. Оплата здійснюється у безготівковій формі шляхом перерахування коштів на рахунок Продавця по факту поставки Товару на підставі видаткової накладної, протягом 20/двадцяти/ банківських днів з дня фактичного отримання Покупцем Товару, за умови наявності коштів на рахунку Покупця. </w:t>
      </w:r>
    </w:p>
    <w:p>
      <w:pPr>
        <w:spacing w:after="0" w:line="240" w:lineRule="auto"/>
        <w:jc w:val="both"/>
        <w:hyphenationLines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1.10. У разі затримки бюджетного фінансування Покупець проводить розрахунки за отриманий Товар протягом 10-ти банківських днів з дати надходження коштів на свій реєстраційний рахунок.</w:t>
      </w:r>
    </w:p>
    <w:p>
      <w:pPr>
        <w:spacing w:after="0" w:line="240" w:lineRule="auto"/>
        <w:jc w:val="both"/>
        <w:hyphenationLines w:val="1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ru-ru"/>
        </w:rPr>
      </w:pPr>
      <w:r>
        <w:rPr>
          <w:rFonts w:ascii="Times New Roman CYR" w:hAnsi="Times New Roman CYR" w:eastAsia="Times New Roman" w:cs="Times New Roman"/>
          <w:sz w:val="24"/>
          <w:szCs w:val="24"/>
        </w:rPr>
        <w:t>1.11. Строк постачання товару (пластикових карток,</w:t>
      </w:r>
      <w:r>
        <w:rPr>
          <w:lang w:val="ru-ru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</w:rPr>
        <w:t>скретч-карток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або талонів), 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з моменту укладення договору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д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31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травня 20</w:t>
      </w:r>
      <w:r>
        <w:rPr>
          <w:rFonts w:ascii="Times New Roman CYR" w:hAnsi="Times New Roman CYR" w:eastAsia="Times New Roman" w:cs="Times New Roman"/>
          <w:sz w:val="24"/>
          <w:szCs w:val="24"/>
        </w:rPr>
        <w:t>2</w:t>
      </w:r>
      <w:r>
        <w:rPr>
          <w:rFonts w:ascii="Times New Roman CYR" w:hAnsi="Times New Roman CYR" w:eastAsia="Times New Roman" w:cs="Times New Roman"/>
          <w:sz w:val="24"/>
          <w:szCs w:val="24"/>
        </w:rPr>
        <w:t>4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 xml:space="preserve"> року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  <w:t>.</w:t>
      </w:r>
      <w:r>
        <w:rPr>
          <w:rFonts w:ascii="Times New Roman CYR" w:hAnsi="Times New Roman CYR" w:eastAsia="Times New Roman" w:cs="Times New Roman"/>
          <w:sz w:val="24"/>
          <w:szCs w:val="24"/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850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OpenSymbol">
    <w:charset w:val="00"/>
    <w:family w:val="auto"/>
    <w:pitch w:val="default"/>
  </w:font>
  <w:font w:name="Times New Roman">
    <w:charset w:val="00"/>
    <w:family w:val="roman"/>
    <w:pitch w:val="default"/>
  </w:font>
  <w:font w:name="Calibri">
    <w:charset w:val="00"/>
    <w:family w:val="swiss"/>
    <w:pitch w:val="default"/>
  </w:font>
  <w:font w:name="Segoe UI">
    <w:charset w:val="00"/>
    <w:family w:val="roman"/>
    <w:pitch w:val="default"/>
  </w:font>
  <w:font w:name="Liberation Sans">
    <w:charset w:val="00"/>
    <w:family w:val="swiss"/>
    <w:pitch w:val="default"/>
  </w:font>
  <w:font w:name="Microsoft YaHei">
    <w:charset w:val="00"/>
    <w:family w:val="roman"/>
    <w:pitch w:val="default"/>
  </w:font>
  <w:font w:name="Lucida Sans">
    <w:charset w:val="00"/>
    <w:family w:val="roman"/>
    <w:pitch w:val="default"/>
  </w:font>
  <w:font w:name="Liberation Serif">
    <w:charset w:val="00"/>
    <w:family w:val="roman"/>
    <w:pitch w:val="default"/>
  </w:font>
  <w:font w:name="Tahoma">
    <w:charset w:val="00"/>
    <w:family w:val="swiss"/>
    <w:pitch w:val="default"/>
  </w:font>
  <w:font w:name="Arial">
    <w:charset w:val="00"/>
    <w:family w:val="swiss"/>
    <w:pitch w:val="default"/>
  </w:font>
  <w:font w:name="Cambria">
    <w:charset w:val="00"/>
    <w:family w:val="roman"/>
    <w:pitch w:val="default"/>
  </w:font>
  <w:font w:name="Times New Roman CYR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numFmt w:val="bullet"/>
      <w:suff w:val="tab"/>
      <w:lvlText w:val="-"/>
      <w:lvlJc w:val="left"/>
      <w:pPr>
        <w:ind w:left="360" w:hanging="0"/>
      </w:pPr>
      <w:rPr>
        <w:rFonts w:ascii="OpenSymbol" w:hAnsi="OpenSymbol" w:cs="OpenSymbol"/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rFonts w:ascii="OpenSymbol" w:hAnsi="OpenSymbol" w:cs="OpenSymbol"/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rFonts w:ascii="OpenSymbol" w:hAnsi="OpenSymbol" w:cs="OpenSymbol"/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rFonts w:ascii="OpenSymbol" w:hAnsi="OpenSymbol" w:cs="OpenSymbol"/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rFonts w:ascii="OpenSymbol" w:hAnsi="OpenSymbol" w:cs="OpenSymbol"/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rFonts w:ascii="OpenSymbol" w:hAnsi="OpenSymbol" w:cs="OpenSymbol"/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rFonts w:ascii="OpenSymbol" w:hAnsi="OpenSymbol" w:cs="OpenSymbol"/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rFonts w:ascii="OpenSymbol" w:hAnsi="OpenSymbol" w:cs="OpenSymbol"/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rFonts w:ascii="OpenSymbol" w:hAnsi="OpenSymbol" w:cs="OpenSymbol"/>
        <w:u w:color="auto" w:val="none"/>
      </w:rPr>
    </w:lvl>
  </w:abstractNum>
  <w:abstractNum w:abstractNumId="2">
    <w:multiLevelType w:val="hybridMultilevel"/>
    <w:name w:val="Нумерований список 2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ий список 3"/>
    <w:lvl w:ilvl="0">
      <w:numFmt w:val="bullet"/>
      <w:suff w:val="tab"/>
      <w:lvlText w:val="-"/>
      <w:lvlJc w:val="left"/>
      <w:pPr>
        <w:ind w:left="360" w:hanging="0"/>
      </w:pPr>
      <w:rPr>
        <w:rFonts w:ascii="OpenSymbol" w:hAnsi="OpenSymbol" w:cs="OpenSymbol"/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rFonts w:ascii="OpenSymbol" w:hAnsi="OpenSymbol" w:cs="OpenSymbol"/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rFonts w:ascii="OpenSymbol" w:hAnsi="OpenSymbol" w:cs="OpenSymbol"/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rFonts w:ascii="OpenSymbol" w:hAnsi="OpenSymbol" w:cs="OpenSymbol"/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rFonts w:ascii="OpenSymbol" w:hAnsi="OpenSymbol" w:cs="OpenSymbol"/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rFonts w:ascii="OpenSymbol" w:hAnsi="OpenSymbol" w:cs="OpenSymbol"/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rFonts w:ascii="OpenSymbol" w:hAnsi="OpenSymbol" w:cs="OpenSymbol"/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rFonts w:ascii="OpenSymbol" w:hAnsi="OpenSymbol" w:cs="OpenSymbol"/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rFonts w:ascii="OpenSymbol" w:hAnsi="OpenSymbol" w:cs="OpenSymbol"/>
        <w:u w:color="auto" w:val="none"/>
      </w:rPr>
    </w:lvl>
  </w:abstractNum>
  <w:abstractNum w:abstractNumId="4">
    <w:multiLevelType w:val="hybridMultilevel"/>
    <w:name w:val="Нумерований список 4"/>
    <w:lvl w:ilvl="0">
      <w:numFmt w:val="bullet"/>
      <w:suff w:val="tab"/>
      <w:lvlText w:val="-"/>
      <w:lvlJc w:val="left"/>
      <w:pPr>
        <w:ind w:left="360" w:hanging="0"/>
      </w:pPr>
      <w:rPr>
        <w:rFonts w:ascii="OpenSymbol" w:hAnsi="OpenSymbol" w:cs="OpenSymbol"/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rFonts w:ascii="OpenSymbol" w:hAnsi="OpenSymbol" w:cs="OpenSymbol"/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rFonts w:ascii="OpenSymbol" w:hAnsi="OpenSymbol" w:cs="OpenSymbol"/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rFonts w:ascii="OpenSymbol" w:hAnsi="OpenSymbol" w:cs="OpenSymbol"/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rFonts w:ascii="OpenSymbol" w:hAnsi="OpenSymbol" w:cs="OpenSymbol"/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rFonts w:ascii="OpenSymbol" w:hAnsi="OpenSymbol" w:cs="OpenSymbol"/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rFonts w:ascii="OpenSymbol" w:hAnsi="OpenSymbol" w:cs="OpenSymbol"/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rFonts w:ascii="OpenSymbol" w:hAnsi="OpenSymbol" w:cs="OpenSymbol"/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rFonts w:ascii="OpenSymbol" w:hAnsi="OpenSymbol" w:cs="OpenSymbol"/>
        <w:u w:color="auto" w:val="none"/>
      </w:rPr>
    </w:lvl>
  </w:abstractNum>
  <w:abstractNum w:abstractNumId="5">
    <w:multiLevelType w:val="hybridMultilevel"/>
    <w:name w:val="Нумерований список 5"/>
    <w:lvl w:ilvl="0">
      <w:numFmt w:val="bullet"/>
      <w:suff w:val="tab"/>
      <w:lvlText w:val="-"/>
      <w:lvlJc w:val="left"/>
      <w:pPr>
        <w:ind w:left="360" w:hanging="0"/>
      </w:pPr>
      <w:rPr>
        <w:rFonts w:ascii="OpenSymbol" w:hAnsi="OpenSymbol" w:cs="OpenSymbol"/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rFonts w:ascii="OpenSymbol" w:hAnsi="OpenSymbol" w:cs="OpenSymbol"/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rFonts w:ascii="OpenSymbol" w:hAnsi="OpenSymbol" w:cs="OpenSymbol"/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rFonts w:ascii="OpenSymbol" w:hAnsi="OpenSymbol" w:cs="OpenSymbol"/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rFonts w:ascii="OpenSymbol" w:hAnsi="OpenSymbol" w:cs="OpenSymbol"/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rFonts w:ascii="OpenSymbol" w:hAnsi="OpenSymbol" w:cs="OpenSymbol"/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rFonts w:ascii="OpenSymbol" w:hAnsi="OpenSymbol" w:cs="OpenSymbol"/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rFonts w:ascii="OpenSymbol" w:hAnsi="OpenSymbol" w:cs="OpenSymbol"/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rFonts w:ascii="OpenSymbol" w:hAnsi="OpenSymbol" w:cs="OpenSymbol"/>
        <w:u w:color="auto" w:val="none"/>
      </w:rPr>
    </w:lvl>
  </w:abstractNum>
  <w:abstractNum w:abstractNumId="6">
    <w:multiLevelType w:val="hybridMultilevel"/>
    <w:name w:val="Нумерований список 6"/>
    <w:lvl w:ilvl="0">
      <w:numFmt w:val="bullet"/>
      <w:suff w:val="tab"/>
      <w:lvlText w:val="-"/>
      <w:lvlJc w:val="left"/>
      <w:pPr>
        <w:ind w:left="360" w:hanging="0"/>
      </w:pPr>
      <w:rPr>
        <w:rFonts w:ascii="OpenSymbol" w:hAnsi="OpenSymbol" w:cs="OpenSymbol"/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rFonts w:ascii="OpenSymbol" w:hAnsi="OpenSymbol" w:cs="OpenSymbol"/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rFonts w:ascii="OpenSymbol" w:hAnsi="OpenSymbol" w:cs="OpenSymbol"/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rFonts w:ascii="OpenSymbol" w:hAnsi="OpenSymbol" w:cs="OpenSymbol"/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rFonts w:ascii="OpenSymbol" w:hAnsi="OpenSymbol" w:cs="OpenSymbol"/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rFonts w:ascii="OpenSymbol" w:hAnsi="OpenSymbol" w:cs="OpenSymbol"/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rFonts w:ascii="OpenSymbol" w:hAnsi="OpenSymbol" w:cs="OpenSymbol"/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rFonts w:ascii="OpenSymbol" w:hAnsi="OpenSymbol" w:cs="OpenSymbol"/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rFonts w:ascii="OpenSymbol" w:hAnsi="OpenSymbol" w:cs="OpenSymbol"/>
        <w:u w:color="auto" w:val="none"/>
      </w:rPr>
    </w:lvl>
  </w:abstractNum>
  <w:abstractNum w:abstractNumId="7">
    <w:multiLevelType w:val="hybridMultilevel"/>
    <w:name w:val="Нумерований список 1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и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46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5157127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Lucida Sans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Lucida Sans"/>
    </w:rPr>
  </w:style>
  <w:style w:type="paragraph" w:styleId="para6">
    <w:name w:val="No Spacing"/>
    <w:qFormat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uk-ua" w:bidi="ar-sa"/>
    </w:rPr>
  </w:style>
  <w:style w:type="paragraph" w:styleId="para7">
    <w:name w:val="List Paragraph"/>
    <w:qFormat/>
    <w:basedOn w:val="para0"/>
    <w:pPr>
      <w:ind w:left="720"/>
      <w:spacing w:after="160" w:line="259" w:lineRule="auto"/>
      <w:contextualSpacing/>
    </w:pPr>
    <w:rPr>
      <w:lang w:eastAsia="uk-ua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9" w:customStyle="1">
    <w:name w:val="Standard"/>
    <w:qFormat/>
    <w:pPr>
      <w:spacing w:after="0" w:line="240" w:lineRule="auto"/>
      <w:widowControl w:val="0"/>
    </w:pPr>
    <w:rPr>
      <w:rFonts w:ascii="Liberation Serif" w:hAnsi="Liberation Serif" w:eastAsia="Segoe UI" w:cs="Tahoma"/>
      <w:color w:val="000000"/>
      <w:sz w:val="24"/>
      <w:szCs w:val="24"/>
      <w:lang w:val="en-us" w:eastAsia="zh-cn" w:bidi="hi-in"/>
    </w:rPr>
  </w:style>
  <w:style w:type="character" w:styleId="char0" w:default="1">
    <w:name w:val="Default Paragraph Font"/>
  </w:style>
  <w:style w:type="character" w:styleId="char1" w:customStyle="1">
    <w:name w:val="Без интервала Знак"/>
    <w:rPr>
      <w:rFonts w:ascii="Calibri" w:hAnsi="Calibri" w:eastAsia="Calibri" w:cs="Times New Roman"/>
      <w:sz w:val="20"/>
      <w:szCs w:val="20"/>
      <w:lang w:eastAsia="uk-ua"/>
    </w:rPr>
  </w:style>
  <w:style w:type="character" w:styleId="char2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Интернет-ссылка"/>
    <w:rPr>
      <w:color w:val="000080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ітка таблиці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6">
    <w:name w:val="6"/>
    <w:basedOn w:val="NormalTable"/>
    <w:pPr>
      <w:spacing w:after="160" w:line="259" w:lineRule="auto"/>
    </w:pPr>
    <w:rPr>
      <w:lang w:val="ru-ru" w:eastAsia="uk-u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2">
    <w:name w:val="2"/>
    <w:basedOn w:val="NormalTable"/>
    <w:pPr>
      <w:spacing w:after="160" w:line="259" w:lineRule="auto"/>
    </w:pPr>
    <w:rPr>
      <w:lang w:val="ru-ru" w:eastAsia="uk-u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Lucida Sans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Lucida Sans"/>
    </w:rPr>
  </w:style>
  <w:style w:type="paragraph" w:styleId="para6">
    <w:name w:val="No Spacing"/>
    <w:qFormat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uk-ua" w:bidi="ar-sa"/>
    </w:rPr>
  </w:style>
  <w:style w:type="paragraph" w:styleId="para7">
    <w:name w:val="List Paragraph"/>
    <w:qFormat/>
    <w:basedOn w:val="para0"/>
    <w:pPr>
      <w:ind w:left="720"/>
      <w:spacing w:after="160" w:line="259" w:lineRule="auto"/>
      <w:contextualSpacing/>
    </w:pPr>
    <w:rPr>
      <w:lang w:eastAsia="uk-ua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9" w:customStyle="1">
    <w:name w:val="Standard"/>
    <w:qFormat/>
    <w:pPr>
      <w:spacing w:after="0" w:line="240" w:lineRule="auto"/>
      <w:widowControl w:val="0"/>
    </w:pPr>
    <w:rPr>
      <w:rFonts w:ascii="Liberation Serif" w:hAnsi="Liberation Serif" w:eastAsia="Segoe UI" w:cs="Tahoma"/>
      <w:color w:val="000000"/>
      <w:sz w:val="24"/>
      <w:szCs w:val="24"/>
      <w:lang w:val="en-us" w:eastAsia="zh-cn" w:bidi="hi-in"/>
    </w:rPr>
  </w:style>
  <w:style w:type="character" w:styleId="char0" w:default="1">
    <w:name w:val="Default Paragraph Font"/>
  </w:style>
  <w:style w:type="character" w:styleId="char1" w:customStyle="1">
    <w:name w:val="Без интервала Знак"/>
    <w:rPr>
      <w:rFonts w:ascii="Calibri" w:hAnsi="Calibri" w:eastAsia="Calibri" w:cs="Times New Roman"/>
      <w:sz w:val="20"/>
      <w:szCs w:val="20"/>
      <w:lang w:eastAsia="uk-ua"/>
    </w:rPr>
  </w:style>
  <w:style w:type="character" w:styleId="char2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Интернет-ссылка"/>
    <w:rPr>
      <w:color w:val="000080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ітка таблиці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6">
    <w:name w:val="6"/>
    <w:basedOn w:val="NormalTable"/>
    <w:pPr>
      <w:spacing w:after="160" w:line="259" w:lineRule="auto"/>
    </w:pPr>
    <w:rPr>
      <w:lang w:val="ru-ru" w:eastAsia="uk-u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2">
    <w:name w:val="2"/>
    <w:basedOn w:val="NormalTable"/>
    <w:pPr>
      <w:spacing w:after="160" w:line="259" w:lineRule="auto"/>
    </w:pPr>
    <w:rPr>
      <w:lang w:val="ru-ru" w:eastAsia="uk-u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cp:lastPrinted>2023-07-26T15:03:00Z</cp:lastPrinted>
  <dcterms:created xsi:type="dcterms:W3CDTF">2023-07-26T14:38:00Z</dcterms:created>
  <dcterms:modified xsi:type="dcterms:W3CDTF">2024-05-08T07:32:07Z</dcterms:modified>
</cp:coreProperties>
</file>