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4356"/>
        <w:gridCol w:w="5528"/>
      </w:tblGrid>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Рішенням уповноваженої особи,</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 xml:space="preserve">Протоколом № </w:t>
            </w:r>
            <w:r>
              <w:rPr>
                <w:b/>
                <w:bCs/>
                <w:lang w:val="ru-RU"/>
              </w:rPr>
              <w:t>2</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Від</w:t>
            </w:r>
            <w:r>
              <w:rPr>
                <w:b/>
                <w:bCs/>
                <w:lang w:val="en-US"/>
              </w:rPr>
              <w:t xml:space="preserve"> 13 </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4356"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8"/>
          <w:szCs w:val="28"/>
          <w:highlight w:val="white"/>
          <w:lang w:val="uk-UA" w:eastAsia="ru-RU" w:bidi="ar-SA"/>
        </w:rPr>
        <w:t>15510000-6 Молоко та вершки</w:t>
      </w:r>
      <w:r>
        <w:rPr>
          <w:rFonts w:eastAsia="Times New Roman" w:cs="Times New Roman"/>
          <w:b/>
          <w:bCs w:val="false"/>
          <w:color w:val="auto"/>
          <w:kern w:val="0"/>
          <w:sz w:val="28"/>
          <w:szCs w:val="28"/>
          <w:lang w:val="uk-UA" w:eastAsia="ru-RU" w:bidi="ar-SA"/>
        </w:rPr>
        <w:t xml:space="preserve"> </w:t>
      </w:r>
      <w:r>
        <w:rPr>
          <w:rFonts w:eastAsia="Times New Roman" w:cs="Times New Roman"/>
          <w:b/>
          <w:bCs/>
          <w:color w:val="auto"/>
          <w:kern w:val="0"/>
          <w:sz w:val="28"/>
          <w:szCs w:val="28"/>
          <w:lang w:val="uk-UA" w:eastAsia="ru-RU" w:bidi="ar-SA"/>
        </w:rPr>
        <w:t>(молоко сухе незбиране)</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1"/>
        <w:gridCol w:w="6107"/>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1"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7"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7"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7"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Код національного класифікатора України</w:t>
            </w:r>
          </w:p>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 xml:space="preserve">ДК 021:2015 «Єдиний закупівельний словник» - </w:t>
            </w:r>
            <w:r>
              <w:rPr>
                <w:rFonts w:eastAsia="Times New Roman" w:cs="Times New Roman"/>
                <w:b/>
                <w:bCs/>
                <w:color w:val="auto"/>
                <w:kern w:val="0"/>
                <w:sz w:val="24"/>
                <w:szCs w:val="24"/>
                <w:lang w:val="uk-UA" w:eastAsia="ru-RU" w:bidi="ar-SA"/>
              </w:rPr>
              <w:t xml:space="preserve"> </w:t>
            </w:r>
            <w:r>
              <w:rPr>
                <w:rFonts w:eastAsia="Times New Roman" w:cs="Times New Roman"/>
                <w:b/>
                <w:bCs w:val="false"/>
                <w:color w:val="auto"/>
                <w:kern w:val="0"/>
                <w:sz w:val="24"/>
                <w:szCs w:val="24"/>
                <w:highlight w:val="white"/>
                <w:lang w:val="uk-UA" w:eastAsia="ru-RU" w:bidi="ar-SA"/>
              </w:rPr>
              <w:t>15510000-6 Молоко та вершки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(молоко сухе незбиране)</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auto"/>
                <w:kern w:val="0"/>
                <w:sz w:val="24"/>
                <w:szCs w:val="24"/>
                <w:highlight w:val="white"/>
                <w:lang w:val="uk-UA" w:eastAsia="ru-RU" w:bidi="ar-SA"/>
              </w:rPr>
              <w:t>15510000-6 Молоко та вершки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 xml:space="preserve">(молоко сухе незбиране — </w:t>
            </w:r>
            <w:r>
              <w:rPr>
                <w:rFonts w:eastAsia="Times New Roman" w:cs="Times New Roman"/>
                <w:b/>
                <w:bCs/>
                <w:color w:val="auto"/>
                <w:kern w:val="0"/>
                <w:sz w:val="24"/>
                <w:szCs w:val="24"/>
                <w:lang w:val="uk-UA" w:eastAsia="ru-RU" w:bidi="ar-SA"/>
              </w:rPr>
              <w:t>1000 кг</w:t>
            </w:r>
            <w:r>
              <w:rPr>
                <w:rFonts w:eastAsia="Times New Roman" w:cs="Times New Roman"/>
                <w:b/>
                <w:bCs/>
                <w:color w:val="auto"/>
                <w:kern w:val="0"/>
                <w:sz w:val="24"/>
                <w:szCs w:val="24"/>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7"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1"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7"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7"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1"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7"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1"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7"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7"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7"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7"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1"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7"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7"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7"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17. (Додаток 1 – КВ, ст17)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3"/>
        <w:gridCol w:w="2482"/>
        <w:gridCol w:w="7060"/>
      </w:tblGrid>
      <w:tr>
        <w:trPr>
          <w:trHeight w:val="20" w:hRule="atLeast"/>
        </w:trPr>
        <w:tc>
          <w:tcPr>
            <w:tcW w:w="51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8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82"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tru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tru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82"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82"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val="false"/>
                <w:color w:val="auto"/>
                <w:kern w:val="0"/>
                <w:sz w:val="24"/>
                <w:szCs w:val="24"/>
                <w:highlight w:val="white"/>
                <w:lang w:val="uk-UA" w:eastAsia="ru-RU" w:bidi="ar-SA"/>
              </w:rPr>
              <w:t>15510000-6 Молоко та вершки</w:t>
            </w:r>
            <w:r>
              <w:rPr>
                <w:rFonts w:eastAsia="Times New Roman" w:cs="Times New Roman"/>
                <w:b/>
                <w:bCs w:val="false"/>
                <w:color w:val="auto"/>
                <w:kern w:val="0"/>
                <w:sz w:val="24"/>
                <w:szCs w:val="24"/>
                <w:lang w:val="uk-UA" w:eastAsia="ru-RU" w:bidi="ar-SA"/>
              </w:rPr>
              <w:t xml:space="preserve">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auto"/>
          <w:kern w:val="0"/>
          <w:sz w:val="24"/>
          <w:szCs w:val="24"/>
          <w:highlight w:val="white"/>
          <w:lang w:val="uk-UA" w:eastAsia="ru-RU" w:bidi="ar-SA"/>
        </w:rPr>
        <w:t>15510000-6 Молоко та вершки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 xml:space="preserve">(молоко сухе незбиране)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(кг)</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кг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highlight w:val="white"/>
                <w:lang w:val="uk-UA" w:eastAsia="ru-RU" w:bidi="ar-SA"/>
              </w:rPr>
              <w:t>15510000-6 Молоко та вершки</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молоко сухе незбиране</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 </w:t>
      </w:r>
      <w:r>
        <w:rPr>
          <w:rFonts w:eastAsia="Times New Roman" w:cs="Times New Roman"/>
          <w:b/>
          <w:bCs/>
          <w:color w:val="auto"/>
          <w:kern w:val="0"/>
          <w:sz w:val="24"/>
          <w:szCs w:val="24"/>
          <w:highlight w:val="white"/>
          <w:lang w:val="uk-UA" w:eastAsia="ru-RU" w:bidi="ar-SA"/>
        </w:rPr>
        <w:t>молоко сухе незбиране</w:t>
      </w:r>
      <w:r>
        <w:rPr>
          <w:rFonts w:eastAsia="Segoe UI"/>
          <w:color w:val="000000"/>
          <w:lang w:bidi="en-US"/>
        </w:rPr>
        <w:t xml:space="preserve"> за ДК 021:2015: </w:t>
      </w:r>
      <w:r>
        <w:rPr>
          <w:color w:val="000000"/>
          <w:lang w:bidi="en-US"/>
        </w:rPr>
        <w:t xml:space="preserve">код </w:t>
      </w:r>
      <w:r>
        <w:rPr>
          <w:rFonts w:eastAsia="Times New Roman" w:cs="Times New Roman"/>
          <w:b/>
          <w:bCs w:val="false"/>
          <w:color w:val="auto"/>
          <w:kern w:val="0"/>
          <w:sz w:val="24"/>
          <w:szCs w:val="24"/>
          <w:highlight w:val="white"/>
          <w:lang w:val="uk-UA" w:eastAsia="ru-RU" w:bidi="ar-SA"/>
        </w:rPr>
        <w:t xml:space="preserve">15510000-6 Молоко та вершки </w:t>
      </w:r>
      <w:r>
        <w:rPr>
          <w:rFonts w:eastAsia="Times New Roman" w:cs="Times New Roman"/>
          <w:b/>
          <w:bCs w:val="false"/>
          <w:color w:val="auto"/>
          <w:kern w:val="0"/>
          <w:sz w:val="24"/>
          <w:szCs w:val="24"/>
          <w:lang w:val="uk-UA" w:eastAsia="ru-RU" w:bidi="ar-SA"/>
        </w:rPr>
        <w:t xml:space="preserve">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b/>
          <w:bCs/>
        </w:rPr>
        <w:t xml:space="preserve"> </w:t>
      </w:r>
      <w:r>
        <w:rPr>
          <w:rFonts w:eastAsia="Times New Roman" w:cs="Times New Roman"/>
          <w:b/>
          <w:bCs w:val="false"/>
          <w:color w:val="auto"/>
          <w:kern w:val="0"/>
          <w:sz w:val="24"/>
          <w:szCs w:val="24"/>
          <w:highlight w:val="white"/>
          <w:lang w:val="uk-UA" w:eastAsia="ru-RU" w:bidi="ar-SA"/>
        </w:rPr>
        <w:t xml:space="preserve">15510000-6 Молоко та вершки </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highlight w:val="white"/>
          <w:shd w:fill="FFFFFF" w:val="clear"/>
          <w:lang w:val="uk-UA" w:eastAsia="ru-RU" w:bidi="ar-SA"/>
        </w:rPr>
        <w:t xml:space="preserve">15510000-6 Молоко та вершки </w:t>
      </w:r>
      <w:r>
        <w:rPr>
          <w:rFonts w:eastAsia="Times New Roman" w:cs="Times New Roman"/>
          <w:b/>
          <w:bCs/>
          <w:color w:val="000000"/>
          <w:kern w:val="0"/>
          <w:sz w:val="24"/>
          <w:szCs w:val="24"/>
          <w:highlight w:val="white"/>
          <w:shd w:fill="FFFFFF" w:val="clear"/>
          <w:lang w:val="uk-UA" w:eastAsia="ru-RU" w:bidi="ar-SA"/>
        </w:rPr>
        <w:t>(молоко сухе незбиране)</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4"/>
        <w:gridCol w:w="3436"/>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4"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6"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Кількість, кг</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4" w:type="dxa"/>
            <w:tcBorders>
              <w:left w:val="single" w:sz="4" w:space="0" w:color="000000"/>
              <w:bottom w:val="single" w:sz="4" w:space="0" w:color="000000"/>
            </w:tcBorders>
            <w:vAlign w:val="center"/>
          </w:tcPr>
          <w:p>
            <w:pPr>
              <w:pStyle w:val="1"/>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ascii="Times New Roman" w:hAnsi="Times New Roman"/>
                <w:b w:val="false"/>
                <w:bCs w:val="false"/>
                <w:color w:val="00000A"/>
                <w:sz w:val="24"/>
                <w:szCs w:val="36"/>
                <w:lang w:val="uk-UA" w:eastAsia="zh-CN" w:bidi="en-US"/>
              </w:rPr>
              <w:t xml:space="preserve"> </w:t>
            </w:r>
            <w:r>
              <w:rPr>
                <w:rFonts w:eastAsia="Times New Roman" w:cs="Times New Roman" w:ascii="Times New Roman" w:hAnsi="Times New Roman"/>
                <w:b w:val="false"/>
                <w:bCs w:val="false"/>
                <w:color w:val="00000A"/>
                <w:sz w:val="24"/>
                <w:szCs w:val="24"/>
                <w:lang w:val="uk-UA" w:eastAsia="uk-UA" w:bidi="en-US"/>
              </w:rPr>
              <w:t>Молоко сухе незбиране</w:t>
            </w:r>
          </w:p>
        </w:tc>
        <w:tc>
          <w:tcPr>
            <w:tcW w:w="3436" w:type="dxa"/>
            <w:tcBorders>
              <w:left w:val="single" w:sz="4" w:space="0" w:color="000000"/>
              <w:bottom w:val="single" w:sz="4" w:space="0" w:color="000000"/>
            </w:tcBorders>
            <w:vAlign w:val="center"/>
          </w:tcPr>
          <w:p>
            <w:pPr>
              <w:pStyle w:val="Normal"/>
              <w:widowControl w:val="false"/>
              <w:spacing w:before="0" w:after="160"/>
              <w:rPr>
                <w:rFonts w:ascii="Times New Roman CYR" w:hAnsi="Times New Roman CYR" w:eastAsia="Calibri" w:cs="Times New Roman CYR"/>
                <w:bCs/>
                <w:color w:val="auto"/>
                <w:sz w:val="24"/>
                <w:szCs w:val="22"/>
                <w:lang w:val="uk-UA" w:eastAsia="zh-CN" w:bidi="ar-SA"/>
              </w:rPr>
            </w:pPr>
            <w:r>
              <w:rPr>
                <w:rFonts w:eastAsia="Calibri" w:cs="Times New Roman CYR" w:ascii="Times New Roman CYR" w:hAnsi="Times New Roman CYR"/>
                <w:bCs/>
                <w:color w:val="auto"/>
                <w:sz w:val="24"/>
                <w:szCs w:val="22"/>
                <w:lang w:val="uk-UA" w:eastAsia="zh-CN" w:bidi="ar-SA"/>
              </w:rPr>
              <w:t>Жирність не менше ніж 25%.</w:t>
            </w:r>
          </w:p>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160"/>
              <w:jc w:val="center"/>
              <w:rPr>
                <w:rFonts w:ascii="Times New Roman" w:hAnsi="Times New Roman" w:eastAsia="Segoe UI" w:cs="Times New Roman"/>
                <w:bCs/>
                <w:color w:val="000000"/>
                <w:sz w:val="24"/>
                <w:szCs w:val="24"/>
                <w:lang w:val="uk-UA" w:bidi="en-US"/>
              </w:rPr>
            </w:pPr>
            <w:r>
              <w:rPr>
                <w:rFonts w:eastAsia="Times New Roman" w:cs="Times New Roman"/>
                <w:bCs/>
                <w:color w:val="00000A"/>
                <w:sz w:val="24"/>
                <w:szCs w:val="36"/>
                <w:lang w:val="uk-UA" w:eastAsia="zh-CN" w:bidi="en-US"/>
              </w:rPr>
              <w:t>Консистенція —дрібнорозпилений сухий порошок. Смак та запах чистий, без сторонніх присмаків та запахів. Колір — білий із світлокремовим віддінком. Упаковка мішок — 25 кг.</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jc w:val="center"/>
              <w:rPr>
                <w:lang w:val="uk-UA"/>
              </w:rPr>
            </w:pPr>
            <w:r>
              <w:rPr>
                <w:rFonts w:cs="Times New Roman"/>
                <w:lang w:val="uk-UA"/>
              </w:rPr>
              <w:t>1000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7"/>
        <w:gridCol w:w="4024"/>
        <w:gridCol w:w="2415"/>
      </w:tblGrid>
      <w:tr>
        <w:trPr/>
        <w:tc>
          <w:tcPr>
            <w:tcW w:w="3487"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4"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34,4932" path="m4933,4931l0,4931l0,0l4933,0l4933,4931e" stroked="f" o:allowincell="f" style="position:absolute;margin-left:-179.25pt;margin-top:-140.25pt;width:139.8pt;height:139.75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795,4302" path="m11794,0l11794,4301l0,4301l0,0e" stroked="f" o:allowincell="f" style="position:absolute;margin-left:-1361.5pt;margin-top:-1954.65pt;width:334.3pt;height:121.9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Application>LibreOffice/7.3.0.3$Windows_X86_64 LibreOffice_project/0f246aa12d0eee4a0f7adcefbf7c878fc2238db3</Application>
  <AppVersion>15.0000</AppVersion>
  <Pages>42</Pages>
  <Words>13310</Words>
  <Characters>90646</Characters>
  <CharactersWithSpaces>104634</CharactersWithSpaces>
  <Paragraphs>724</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2024-02-13T14:57:30Z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