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C1" w:rsidRPr="009D54C1" w:rsidRDefault="009D54C1" w:rsidP="009D54C1">
      <w:pPr>
        <w:widowControl/>
        <w:ind w:left="5660" w:firstLine="700"/>
        <w:jc w:val="right"/>
        <w:rPr>
          <w:rFonts w:ascii="Times New Roman" w:eastAsia="Times New Roman" w:hAnsi="Times New Roman" w:cs="Times New Roman"/>
          <w:color w:val="auto"/>
          <w:lang w:eastAsia="ru-RU" w:bidi="ar-SA"/>
        </w:rPr>
      </w:pPr>
      <w:bookmarkStart w:id="0" w:name="_Hlk160006963"/>
      <w:r w:rsidRPr="009D54C1">
        <w:rPr>
          <w:rFonts w:ascii="Times New Roman" w:eastAsia="Times New Roman" w:hAnsi="Times New Roman" w:cs="Times New Roman"/>
          <w:b/>
          <w:lang w:eastAsia="ru-RU" w:bidi="ar-SA"/>
        </w:rPr>
        <w:t xml:space="preserve">ДОДАТОК </w:t>
      </w:r>
      <w:r>
        <w:rPr>
          <w:rFonts w:ascii="Times New Roman" w:eastAsia="Times New Roman" w:hAnsi="Times New Roman" w:cs="Times New Roman"/>
          <w:b/>
          <w:lang w:eastAsia="ru-RU" w:bidi="ar-SA"/>
        </w:rPr>
        <w:t>2</w:t>
      </w:r>
    </w:p>
    <w:p w:rsidR="009D54C1" w:rsidRPr="00ED27BE" w:rsidRDefault="009D54C1" w:rsidP="009D54C1">
      <w:pPr>
        <w:widowControl/>
        <w:ind w:left="5660" w:firstLine="700"/>
        <w:jc w:val="right"/>
        <w:rPr>
          <w:rFonts w:ascii="Times New Roman" w:eastAsia="Times New Roman" w:hAnsi="Times New Roman" w:cs="Times New Roman"/>
          <w:color w:val="auto"/>
          <w:lang w:eastAsia="ru-RU" w:bidi="ar-SA"/>
        </w:rPr>
      </w:pPr>
      <w:r w:rsidRPr="00ED27BE">
        <w:rPr>
          <w:rFonts w:ascii="Times New Roman" w:eastAsia="Times New Roman" w:hAnsi="Times New Roman" w:cs="Times New Roman"/>
          <w:lang w:eastAsia="ru-RU" w:bidi="ar-SA"/>
        </w:rPr>
        <w:t>до тендерної документації</w:t>
      </w:r>
    </w:p>
    <w:bookmarkEnd w:id="0"/>
    <w:p w:rsidR="00E513E2" w:rsidRDefault="00E513E2" w:rsidP="00F74D4F">
      <w:pPr>
        <w:widowControl/>
        <w:suppressAutoHyphens/>
        <w:ind w:right="-426"/>
        <w:jc w:val="center"/>
        <w:rPr>
          <w:rFonts w:ascii="Times New Roman" w:eastAsia="Times New Roman" w:hAnsi="Times New Roman" w:cs="Times New Roman"/>
          <w:b/>
          <w:i/>
          <w:iCs/>
          <w:color w:val="00000A"/>
          <w:lang w:bidi="ar-SA"/>
        </w:rPr>
      </w:pPr>
    </w:p>
    <w:p w:rsidR="00AD29AE" w:rsidRDefault="00F74D4F" w:rsidP="00AD29AE">
      <w:pPr>
        <w:widowControl/>
        <w:suppressAutoHyphens/>
        <w:ind w:right="-426"/>
        <w:jc w:val="center"/>
        <w:rPr>
          <w:rFonts w:ascii="Times New Roman" w:eastAsia="Times New Roman" w:hAnsi="Times New Roman" w:cs="Times New Roman"/>
          <w:b/>
          <w:i/>
          <w:iCs/>
          <w:color w:val="00000A"/>
          <w:lang w:bidi="ar-SA"/>
        </w:rPr>
      </w:pPr>
      <w:r w:rsidRPr="00F74D4F">
        <w:rPr>
          <w:rFonts w:ascii="Times New Roman" w:eastAsia="Times New Roman" w:hAnsi="Times New Roman" w:cs="Times New Roman"/>
          <w:b/>
          <w:i/>
          <w:iCs/>
          <w:color w:val="00000A"/>
          <w:lang w:bidi="ar-SA"/>
        </w:rPr>
        <w:t>Інформація про необхідні технічні, якісні та кількісні характеристики предмета закупівлі</w:t>
      </w:r>
    </w:p>
    <w:p w:rsidR="009779B3" w:rsidRPr="00F74D4F" w:rsidRDefault="009779B3" w:rsidP="00F74D4F">
      <w:pPr>
        <w:widowControl/>
        <w:suppressAutoHyphens/>
        <w:ind w:right="-426"/>
        <w:jc w:val="center"/>
        <w:rPr>
          <w:rFonts w:ascii="Times New Roman" w:eastAsia="Times New Roman" w:hAnsi="Times New Roman" w:cs="Times New Roman"/>
          <w:b/>
          <w:bCs/>
          <w:i/>
          <w:iCs/>
          <w:color w:val="00000A"/>
          <w:sz w:val="22"/>
          <w:szCs w:val="22"/>
          <w:lang w:bidi="ar-SA"/>
        </w:rPr>
      </w:pPr>
      <w:r w:rsidRPr="009779B3">
        <w:rPr>
          <w:rFonts w:ascii="Times New Roman" w:eastAsia="Calibri" w:hAnsi="Times New Roman" w:cs="Times New Roman"/>
          <w:b/>
          <w:color w:val="auto"/>
          <w:lang w:eastAsia="en-US" w:bidi="ar-SA"/>
        </w:rPr>
        <w:t>ДК 021:2015:</w:t>
      </w:r>
      <w:r w:rsidRPr="009779B3">
        <w:rPr>
          <w:rFonts w:ascii="Times New Roman" w:eastAsia="Calibri" w:hAnsi="Times New Roman" w:cs="Times New Roman"/>
          <w:b/>
          <w:bCs/>
          <w:color w:val="auto"/>
          <w:lang w:eastAsia="en-US" w:bidi="ar-SA"/>
        </w:rPr>
        <w:t xml:space="preserve">44810000-1 </w:t>
      </w:r>
      <w:r>
        <w:rPr>
          <w:rFonts w:ascii="Times New Roman" w:eastAsia="Calibri" w:hAnsi="Times New Roman" w:cs="Times New Roman"/>
          <w:b/>
          <w:bCs/>
          <w:color w:val="auto"/>
          <w:lang w:eastAsia="en-US" w:bidi="ar-SA"/>
        </w:rPr>
        <w:t xml:space="preserve">- </w:t>
      </w:r>
      <w:r w:rsidRPr="009779B3">
        <w:rPr>
          <w:rFonts w:ascii="Times New Roman" w:eastAsia="Calibri" w:hAnsi="Times New Roman" w:cs="Times New Roman"/>
          <w:b/>
          <w:bCs/>
          <w:color w:val="auto"/>
          <w:lang w:eastAsia="en-US" w:bidi="ar-SA"/>
        </w:rPr>
        <w:t>Фарби</w:t>
      </w:r>
    </w:p>
    <w:p w:rsidR="00FB45B0" w:rsidRPr="00FB45B0" w:rsidRDefault="00FB45B0" w:rsidP="00FB45B0">
      <w:pPr>
        <w:keepNext/>
        <w:widowControl/>
        <w:suppressAutoHyphens/>
        <w:jc w:val="both"/>
        <w:rPr>
          <w:rFonts w:ascii="Times New Roman" w:eastAsia="SimSun" w:hAnsi="Times New Roman" w:cs="Times New Roman"/>
          <w:color w:val="00000A"/>
          <w:lang w:bidi="ar-SA"/>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70"/>
        <w:gridCol w:w="2998"/>
        <w:gridCol w:w="968"/>
        <w:gridCol w:w="5670"/>
      </w:tblGrid>
      <w:tr w:rsidR="009D54C1" w:rsidRPr="00FB45B0" w:rsidTr="00AD29AE">
        <w:trPr>
          <w:trHeight w:val="272"/>
        </w:trPr>
        <w:tc>
          <w:tcPr>
            <w:tcW w:w="570" w:type="dxa"/>
            <w:tcMar>
              <w:top w:w="0" w:type="dxa"/>
              <w:left w:w="108" w:type="dxa"/>
              <w:bottom w:w="0" w:type="dxa"/>
              <w:right w:w="108" w:type="dxa"/>
            </w:tcMar>
            <w:vAlign w:val="center"/>
            <w:hideMark/>
          </w:tcPr>
          <w:p w:rsidR="005E51E7" w:rsidRDefault="009D54C1" w:rsidP="00FB45B0">
            <w:pPr>
              <w:widowControl/>
              <w:suppressAutoHyphens/>
              <w:spacing w:line="276" w:lineRule="auto"/>
              <w:ind w:left="-165" w:right="-149"/>
              <w:jc w:val="center"/>
              <w:rPr>
                <w:rFonts w:ascii="Times New Roman" w:eastAsia="SimSun" w:hAnsi="Times New Roman" w:cs="Times New Roman"/>
                <w:color w:val="00000A"/>
                <w:lang w:bidi="ar-SA"/>
              </w:rPr>
            </w:pPr>
            <w:r w:rsidRPr="005E51E7">
              <w:rPr>
                <w:rFonts w:ascii="Times New Roman" w:eastAsia="SimSun" w:hAnsi="Times New Roman" w:cs="Times New Roman"/>
                <w:color w:val="00000A"/>
                <w:lang w:bidi="ar-SA"/>
              </w:rPr>
              <w:t xml:space="preserve">№ </w:t>
            </w:r>
          </w:p>
          <w:p w:rsidR="009D54C1" w:rsidRPr="005E51E7" w:rsidRDefault="009D54C1" w:rsidP="00FB45B0">
            <w:pPr>
              <w:widowControl/>
              <w:suppressAutoHyphens/>
              <w:spacing w:line="276" w:lineRule="auto"/>
              <w:ind w:left="-165" w:right="-149"/>
              <w:jc w:val="center"/>
              <w:rPr>
                <w:rFonts w:ascii="Times New Roman" w:eastAsia="SimSun" w:hAnsi="Times New Roman" w:cs="Times New Roman"/>
                <w:color w:val="00000A"/>
                <w:lang w:bidi="ar-SA"/>
              </w:rPr>
            </w:pPr>
            <w:r w:rsidRPr="005E51E7">
              <w:rPr>
                <w:rFonts w:ascii="Times New Roman" w:eastAsia="SimSun" w:hAnsi="Times New Roman" w:cs="Times New Roman"/>
                <w:color w:val="00000A"/>
                <w:lang w:bidi="ar-SA"/>
              </w:rPr>
              <w:t>п/п</w:t>
            </w:r>
          </w:p>
        </w:tc>
        <w:tc>
          <w:tcPr>
            <w:tcW w:w="2998" w:type="dxa"/>
            <w:tcMar>
              <w:top w:w="0" w:type="dxa"/>
              <w:left w:w="108" w:type="dxa"/>
              <w:bottom w:w="0" w:type="dxa"/>
              <w:right w:w="108" w:type="dxa"/>
            </w:tcMar>
            <w:vAlign w:val="center"/>
            <w:hideMark/>
          </w:tcPr>
          <w:p w:rsidR="009D54C1" w:rsidRDefault="009D54C1" w:rsidP="000060ED">
            <w:pPr>
              <w:widowControl/>
              <w:suppressAutoHyphens/>
              <w:spacing w:line="276" w:lineRule="auto"/>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Найменування</w:t>
            </w:r>
          </w:p>
          <w:p w:rsidR="005A3252" w:rsidRPr="005A3252" w:rsidRDefault="005A3252" w:rsidP="000060ED">
            <w:pPr>
              <w:widowControl/>
              <w:suppressAutoHyphens/>
              <w:spacing w:line="276" w:lineRule="auto"/>
              <w:jc w:val="center"/>
              <w:rPr>
                <w:rFonts w:ascii="Times New Roman" w:eastAsia="SimSun" w:hAnsi="Times New Roman" w:cs="Times New Roman"/>
                <w:color w:val="00000A"/>
                <w:sz w:val="18"/>
                <w:szCs w:val="18"/>
                <w:lang w:bidi="ar-SA"/>
              </w:rPr>
            </w:pPr>
            <w:r w:rsidRPr="005A3252">
              <w:rPr>
                <w:rFonts w:ascii="Times New Roman" w:eastAsia="SimSun" w:hAnsi="Times New Roman" w:cs="Times New Roman"/>
                <w:color w:val="00000A"/>
                <w:sz w:val="18"/>
                <w:szCs w:val="18"/>
                <w:lang w:bidi="ar-SA"/>
              </w:rPr>
              <w:t>(Учасник зазначає конкретне найменування товару, який пропонує із вказівкою торговельної марки)</w:t>
            </w:r>
          </w:p>
          <w:p w:rsidR="009D54C1" w:rsidRPr="00FB45B0" w:rsidRDefault="009D54C1" w:rsidP="00FB45B0">
            <w:pPr>
              <w:widowControl/>
              <w:suppressAutoHyphens/>
              <w:spacing w:line="276" w:lineRule="auto"/>
              <w:jc w:val="center"/>
              <w:rPr>
                <w:rFonts w:ascii="Times New Roman" w:eastAsia="SimSun" w:hAnsi="Times New Roman" w:cs="Times New Roman"/>
                <w:color w:val="00000A"/>
                <w:lang w:bidi="ar-SA"/>
              </w:rPr>
            </w:pPr>
          </w:p>
        </w:tc>
        <w:tc>
          <w:tcPr>
            <w:tcW w:w="968" w:type="dxa"/>
            <w:vAlign w:val="center"/>
          </w:tcPr>
          <w:p w:rsidR="009D54C1" w:rsidRPr="00AD29AE" w:rsidRDefault="009D54C1" w:rsidP="000060ED">
            <w:pPr>
              <w:widowControl/>
              <w:suppressAutoHyphens/>
              <w:spacing w:line="276" w:lineRule="auto"/>
              <w:jc w:val="center"/>
              <w:rPr>
                <w:rFonts w:ascii="Times New Roman" w:eastAsia="SimSun" w:hAnsi="Times New Roman" w:cs="Times New Roman"/>
                <w:color w:val="00000A"/>
                <w:sz w:val="20"/>
                <w:szCs w:val="20"/>
                <w:lang w:bidi="ar-SA"/>
              </w:rPr>
            </w:pPr>
            <w:r w:rsidRPr="00AD29AE">
              <w:rPr>
                <w:rFonts w:ascii="Times New Roman" w:eastAsia="SimSun" w:hAnsi="Times New Roman" w:cs="Times New Roman"/>
                <w:color w:val="00000A"/>
                <w:sz w:val="20"/>
                <w:szCs w:val="20"/>
                <w:lang w:bidi="ar-SA"/>
              </w:rPr>
              <w:t>Кількість, шт.</w:t>
            </w:r>
          </w:p>
        </w:tc>
        <w:tc>
          <w:tcPr>
            <w:tcW w:w="5670" w:type="dxa"/>
            <w:tcMar>
              <w:top w:w="0" w:type="dxa"/>
              <w:left w:w="108" w:type="dxa"/>
              <w:bottom w:w="0" w:type="dxa"/>
              <w:right w:w="108" w:type="dxa"/>
            </w:tcMar>
            <w:vAlign w:val="center"/>
            <w:hideMark/>
          </w:tcPr>
          <w:p w:rsidR="009D54C1" w:rsidRPr="00DA7163" w:rsidRDefault="009D54C1" w:rsidP="000060ED">
            <w:pPr>
              <w:widowControl/>
              <w:suppressAutoHyphens/>
              <w:spacing w:line="276" w:lineRule="auto"/>
              <w:jc w:val="center"/>
              <w:rPr>
                <w:rFonts w:ascii="Times New Roman" w:eastAsia="SimSun" w:hAnsi="Times New Roman" w:cs="Times New Roman"/>
                <w:color w:val="00000A"/>
                <w:lang w:bidi="ar-SA"/>
              </w:rPr>
            </w:pPr>
            <w:r w:rsidRPr="00DA7163">
              <w:rPr>
                <w:rFonts w:ascii="Times New Roman" w:eastAsia="SimSun" w:hAnsi="Times New Roman" w:cs="Times New Roman"/>
                <w:color w:val="00000A"/>
                <w:sz w:val="22"/>
                <w:szCs w:val="22"/>
                <w:lang w:bidi="ar-SA"/>
              </w:rPr>
              <w:t>Опис</w:t>
            </w:r>
          </w:p>
          <w:p w:rsidR="009D54C1" w:rsidRPr="00FB45B0" w:rsidRDefault="009D54C1" w:rsidP="000060ED">
            <w:pPr>
              <w:widowControl/>
              <w:suppressAutoHyphens/>
              <w:spacing w:line="276" w:lineRule="auto"/>
              <w:ind w:right="-139"/>
              <w:jc w:val="center"/>
              <w:rPr>
                <w:rFonts w:ascii="Times New Roman" w:eastAsia="SimSun" w:hAnsi="Times New Roman" w:cs="Times New Roman"/>
                <w:color w:val="00000A"/>
                <w:lang w:bidi="ar-SA"/>
              </w:rPr>
            </w:pPr>
            <w:r w:rsidRPr="00DA7163">
              <w:rPr>
                <w:rFonts w:ascii="Times New Roman" w:eastAsia="SimSun" w:hAnsi="Times New Roman" w:cs="Times New Roman"/>
                <w:color w:val="00000A"/>
                <w:sz w:val="22"/>
                <w:szCs w:val="22"/>
                <w:lang w:bidi="ar-SA"/>
              </w:rPr>
              <w:t>предмету закупівлі</w:t>
            </w:r>
          </w:p>
        </w:tc>
      </w:tr>
      <w:tr w:rsidR="00A744E9" w:rsidRPr="00FB45B0" w:rsidTr="00AD29AE">
        <w:trPr>
          <w:trHeight w:val="7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1</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блакитна -2,8 кг.</w:t>
            </w:r>
          </w:p>
        </w:tc>
        <w:tc>
          <w:tcPr>
            <w:tcW w:w="968" w:type="dxa"/>
            <w:vAlign w:val="center"/>
          </w:tcPr>
          <w:p w:rsidR="00A744E9" w:rsidRPr="00AD29AE" w:rsidRDefault="00A744E9" w:rsidP="00A744E9">
            <w:pPr>
              <w:widowControl/>
              <w:suppressAutoHyphens/>
              <w:jc w:val="center"/>
              <w:rPr>
                <w:rFonts w:ascii="Times New Roman" w:eastAsia="Gungsuh" w:hAnsi="Times New Roman" w:cs="Times New Roman"/>
                <w:lang w:eastAsia="ar-SA" w:bidi="ar-SA"/>
              </w:rPr>
            </w:pPr>
            <w:r w:rsidRPr="00AD29AE">
              <w:rPr>
                <w:rFonts w:ascii="Times New Roman" w:hAnsi="Times New Roman" w:cs="Times New Roman"/>
                <w:sz w:val="22"/>
                <w:szCs w:val="22"/>
              </w:rPr>
              <w:t>150</w:t>
            </w:r>
          </w:p>
        </w:tc>
        <w:tc>
          <w:tcPr>
            <w:tcW w:w="5670" w:type="dxa"/>
            <w:vMerge w:val="restart"/>
            <w:tcMar>
              <w:top w:w="0" w:type="dxa"/>
              <w:left w:w="108" w:type="dxa"/>
              <w:bottom w:w="0" w:type="dxa"/>
              <w:right w:w="108" w:type="dxa"/>
            </w:tcMar>
          </w:tcPr>
          <w:p w:rsidR="00202BF1" w:rsidRPr="00AD29AE" w:rsidRDefault="00202BF1" w:rsidP="00202BF1">
            <w:pPr>
              <w:widowControl/>
              <w:suppressAutoHyphens/>
              <w:jc w:val="both"/>
              <w:rPr>
                <w:rFonts w:ascii="Times New Roman" w:eastAsia="Gungsuh" w:hAnsi="Times New Roman" w:cs="Times New Roman"/>
                <w:lang w:eastAsia="ar-SA" w:bidi="ar-SA"/>
              </w:rPr>
            </w:pPr>
            <w:r w:rsidRPr="00AD29AE">
              <w:rPr>
                <w:rFonts w:ascii="Times New Roman" w:hAnsi="Times New Roman" w:cs="Times New Roman"/>
                <w:color w:val="212529"/>
                <w:sz w:val="22"/>
                <w:szCs w:val="22"/>
                <w:shd w:val="clear" w:color="auto" w:fill="FFFFFF"/>
              </w:rPr>
              <w:t>Призначена для декоративно-захисного фарбування попередньо заґрунтованих металевих поверхонь, дерева, деревних матеріалів, бетонних та інших поверхонь, як усередині приміщень, так і зовні. Застосовується для фарбування меблів, дверей, віконних рам, огорож, робочих інструментів, металевих гаражів, промислових конструкцій і т.п.</w:t>
            </w:r>
          </w:p>
          <w:p w:rsidR="00A744E9" w:rsidRPr="00AD29AE" w:rsidRDefault="00A744E9" w:rsidP="00A744E9">
            <w:pPr>
              <w:widowControl/>
              <w:suppressAutoHyphens/>
              <w:rPr>
                <w:rFonts w:ascii="Times New Roman" w:eastAsia="Gungsuh" w:hAnsi="Times New Roman" w:cs="Times New Roman"/>
                <w:lang w:eastAsia="ar-SA" w:bidi="ar-SA"/>
              </w:rPr>
            </w:pPr>
            <w:r w:rsidRPr="00AD29AE">
              <w:rPr>
                <w:rFonts w:ascii="Times New Roman" w:eastAsia="Gungsuh" w:hAnsi="Times New Roman" w:cs="Times New Roman"/>
                <w:sz w:val="22"/>
                <w:szCs w:val="22"/>
                <w:lang w:eastAsia="ar-SA" w:bidi="ar-SA"/>
              </w:rPr>
              <w:t>Вміст ЛОС</w:t>
            </w:r>
            <w:r w:rsidR="00831BA3" w:rsidRPr="00AD29AE">
              <w:rPr>
                <w:rFonts w:ascii="Times New Roman" w:eastAsia="Gungsuh" w:hAnsi="Times New Roman" w:cs="Times New Roman"/>
                <w:sz w:val="22"/>
                <w:szCs w:val="22"/>
                <w:lang w:eastAsia="ar-SA" w:bidi="ar-SA"/>
              </w:rPr>
              <w:t xml:space="preserve"> (леткі органічні сполуки)</w:t>
            </w:r>
            <w:r w:rsidRPr="00AD29AE">
              <w:rPr>
                <w:rFonts w:ascii="Times New Roman" w:eastAsia="Gungsuh" w:hAnsi="Times New Roman" w:cs="Times New Roman"/>
                <w:sz w:val="22"/>
                <w:szCs w:val="22"/>
                <w:lang w:eastAsia="ar-SA" w:bidi="ar-SA"/>
              </w:rPr>
              <w:t>: ≤ 500 г/л.</w:t>
            </w:r>
          </w:p>
          <w:p w:rsidR="00A744E9" w:rsidRPr="00AD29AE" w:rsidRDefault="00A744E9" w:rsidP="00A744E9">
            <w:pPr>
              <w:widowControl/>
              <w:suppressAutoHyphens/>
              <w:rPr>
                <w:rFonts w:ascii="Times New Roman" w:eastAsia="Calibri" w:hAnsi="Times New Roman" w:cs="Times New Roman"/>
                <w:lang w:eastAsia="ru-RU" w:bidi="ar-SA"/>
              </w:rPr>
            </w:pPr>
            <w:r w:rsidRPr="00AD29AE">
              <w:rPr>
                <w:rFonts w:ascii="Times New Roman" w:eastAsia="Calibri" w:hAnsi="Times New Roman" w:cs="Times New Roman"/>
                <w:sz w:val="22"/>
                <w:szCs w:val="22"/>
                <w:lang w:eastAsia="ru-RU" w:bidi="ar-SA"/>
              </w:rPr>
              <w:t>Фасування: 2,8 кг.</w:t>
            </w:r>
          </w:p>
          <w:p w:rsidR="00D33239" w:rsidRPr="00AD29AE" w:rsidRDefault="00D33239" w:rsidP="00A744E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Строк (термін) придатності: 24 місяці від дати виготовлення</w:t>
            </w:r>
          </w:p>
          <w:p w:rsidR="00A744E9" w:rsidRPr="00AD29AE" w:rsidRDefault="00A744E9" w:rsidP="00A744E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Фізико-хімічні показники:</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1)Умовна в’язкість (віскозиметр ВЗ-246 (ВЗ-4) за температури (23 ± 0,5)°С, с, не менше - 100</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2)Ступінь перетиру, мкм, не більше - 35</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3)Масова частка нелетких речовин, %, не менше - 60</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4)Час висихання до ст.3 за температури (23 ± 2) ° С, год., не більше - 24</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5)Блиск покриття (кут 60°) - глянцевий, од., не менше 65</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6)Покривність висушеної плівки, г/м² - 70-120</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7)Твердість покриття за маятниковим приладом (маятник Кеніга), с, не менше - 25</w:t>
            </w:r>
          </w:p>
          <w:p w:rsidR="00D3323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8)Адгезія покриття, бали, не більше - 1</w:t>
            </w:r>
          </w:p>
          <w:p w:rsidR="00A744E9" w:rsidRPr="00AD29AE" w:rsidRDefault="00D33239" w:rsidP="00D33239">
            <w:pPr>
              <w:widowControl/>
              <w:suppressAutoHyphens/>
              <w:rPr>
                <w:rFonts w:ascii="Times New Roman" w:eastAsia="Times New Roman" w:hAnsi="Times New Roman" w:cs="Times New Roman"/>
                <w:lang w:eastAsia="ar-SA" w:bidi="ar-SA"/>
              </w:rPr>
            </w:pPr>
            <w:r w:rsidRPr="00AD29AE">
              <w:rPr>
                <w:rFonts w:ascii="Times New Roman" w:eastAsia="Times New Roman" w:hAnsi="Times New Roman" w:cs="Times New Roman"/>
                <w:sz w:val="22"/>
                <w:szCs w:val="22"/>
                <w:lang w:eastAsia="ar-SA" w:bidi="ar-SA"/>
              </w:rPr>
              <w:t xml:space="preserve">9)Стійкість покриття до дії води, ступінь, не більше </w:t>
            </w:r>
            <w:r w:rsidR="003C4342" w:rsidRPr="00AD29AE">
              <w:rPr>
                <w:rFonts w:ascii="Times New Roman" w:eastAsia="Times New Roman" w:hAnsi="Times New Roman" w:cs="Times New Roman"/>
                <w:sz w:val="22"/>
                <w:szCs w:val="22"/>
                <w:lang w:eastAsia="ar-SA" w:bidi="ar-SA"/>
              </w:rPr>
              <w:t>–</w:t>
            </w:r>
            <w:r w:rsidRPr="00AD29AE">
              <w:rPr>
                <w:rFonts w:ascii="Times New Roman" w:eastAsia="Times New Roman" w:hAnsi="Times New Roman" w:cs="Times New Roman"/>
                <w:sz w:val="22"/>
                <w:szCs w:val="22"/>
                <w:lang w:eastAsia="ar-SA" w:bidi="ar-SA"/>
              </w:rPr>
              <w:t xml:space="preserve"> 1</w:t>
            </w:r>
          </w:p>
          <w:p w:rsidR="003C4342" w:rsidRPr="00D33239" w:rsidRDefault="003C4342" w:rsidP="00D33239">
            <w:pPr>
              <w:widowControl/>
              <w:suppressAutoHyphens/>
              <w:rPr>
                <w:rFonts w:ascii="Times New Roman" w:eastAsia="Times New Roman" w:hAnsi="Times New Roman" w:cs="Times New Roman"/>
                <w:sz w:val="20"/>
                <w:szCs w:val="20"/>
                <w:lang w:eastAsia="ar-SA" w:bidi="ar-SA"/>
              </w:rPr>
            </w:pPr>
            <w:r w:rsidRPr="00AD29AE">
              <w:rPr>
                <w:rFonts w:ascii="Times New Roman" w:eastAsia="Times New Roman" w:hAnsi="Times New Roman" w:cs="Times New Roman"/>
                <w:sz w:val="22"/>
                <w:szCs w:val="22"/>
                <w:lang w:eastAsia="ar-SA" w:bidi="ar-SA"/>
              </w:rPr>
              <w:t>10)Колір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tc>
      </w:tr>
      <w:tr w:rsidR="00A744E9" w:rsidRPr="00FB45B0" w:rsidTr="00AD29AE">
        <w:trPr>
          <w:trHeight w:val="223"/>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val="ru-RU" w:bidi="ar-SA"/>
              </w:rPr>
            </w:pPr>
            <w:r>
              <w:rPr>
                <w:rFonts w:ascii="Times New Roman" w:eastAsia="SimSun" w:hAnsi="Times New Roman" w:cs="Times New Roman"/>
                <w:color w:val="00000A"/>
                <w:lang w:val="ru-RU" w:bidi="ar-SA"/>
              </w:rPr>
              <w:t>2</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біла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222</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r w:rsidR="00A744E9" w:rsidRPr="00FB45B0" w:rsidTr="00AD29AE">
        <w:trPr>
          <w:trHeight w:val="7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3</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зелена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150</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rPr>
                <w:rFonts w:ascii="Times New Roman" w:eastAsia="SimSun" w:hAnsi="Times New Roman" w:cs="Times New Roman"/>
                <w:lang w:bidi="ar-SA"/>
              </w:rPr>
            </w:pPr>
          </w:p>
        </w:tc>
      </w:tr>
      <w:tr w:rsidR="00A744E9" w:rsidRPr="00FB45B0" w:rsidTr="00AD29AE">
        <w:trPr>
          <w:trHeight w:val="24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4</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 xml:space="preserve">Емаль алкідна ПФ-115 салатова </w:t>
            </w:r>
            <w:bookmarkStart w:id="1" w:name="_GoBack"/>
            <w:bookmarkEnd w:id="1"/>
            <w:r w:rsidRPr="009D54C1">
              <w:rPr>
                <w:rFonts w:ascii="Times New Roman" w:hAnsi="Times New Roman" w:cs="Times New Roman"/>
                <w:sz w:val="22"/>
                <w:szCs w:val="22"/>
              </w:rPr>
              <w:t>-2,8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12</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r w:rsidR="00A744E9" w:rsidRPr="00FB45B0" w:rsidTr="00AD29AE">
        <w:trPr>
          <w:trHeight w:val="24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5</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червоно-коричнева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72</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r w:rsidR="00A744E9" w:rsidRPr="00FB45B0" w:rsidTr="00AD29AE">
        <w:trPr>
          <w:trHeight w:val="24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6</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жовта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30</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r w:rsidR="00A744E9" w:rsidRPr="00FB45B0" w:rsidTr="00AD29AE">
        <w:trPr>
          <w:trHeight w:val="24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7</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темно-сіра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24</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r w:rsidR="00A744E9" w:rsidRPr="00FB45B0" w:rsidTr="00AD29AE">
        <w:trPr>
          <w:trHeight w:val="248"/>
        </w:trPr>
        <w:tc>
          <w:tcPr>
            <w:tcW w:w="570" w:type="dxa"/>
            <w:tcMar>
              <w:top w:w="0" w:type="dxa"/>
              <w:left w:w="108" w:type="dxa"/>
              <w:bottom w:w="0" w:type="dxa"/>
              <w:right w:w="108" w:type="dxa"/>
            </w:tcMar>
            <w:vAlign w:val="center"/>
          </w:tcPr>
          <w:p w:rsidR="00A744E9" w:rsidRPr="00FB45B0" w:rsidRDefault="00A744E9" w:rsidP="00A744E9">
            <w:pPr>
              <w:widowControl/>
              <w:suppressAutoHyphens/>
              <w:spacing w:line="276" w:lineRule="auto"/>
              <w:ind w:right="-149"/>
              <w:jc w:val="center"/>
              <w:rPr>
                <w:rFonts w:ascii="Times New Roman" w:eastAsia="SimSun" w:hAnsi="Times New Roman" w:cs="Times New Roman"/>
                <w:color w:val="00000A"/>
                <w:lang w:bidi="ar-SA"/>
              </w:rPr>
            </w:pPr>
            <w:r>
              <w:rPr>
                <w:rFonts w:ascii="Times New Roman" w:eastAsia="SimSun" w:hAnsi="Times New Roman" w:cs="Times New Roman"/>
                <w:color w:val="00000A"/>
                <w:lang w:bidi="ar-SA"/>
              </w:rPr>
              <w:t>8</w:t>
            </w:r>
          </w:p>
        </w:tc>
        <w:tc>
          <w:tcPr>
            <w:tcW w:w="2998" w:type="dxa"/>
            <w:tcMar>
              <w:top w:w="0" w:type="dxa"/>
              <w:left w:w="108" w:type="dxa"/>
              <w:bottom w:w="0" w:type="dxa"/>
              <w:right w:w="108" w:type="dxa"/>
            </w:tcMar>
            <w:vAlign w:val="center"/>
          </w:tcPr>
          <w:p w:rsidR="00A744E9" w:rsidRPr="009D54C1" w:rsidRDefault="00A744E9" w:rsidP="00A744E9">
            <w:pPr>
              <w:rPr>
                <w:rFonts w:ascii="Times New Roman" w:hAnsi="Times New Roman" w:cs="Times New Roman"/>
              </w:rPr>
            </w:pPr>
            <w:r w:rsidRPr="009D54C1">
              <w:rPr>
                <w:rFonts w:ascii="Times New Roman" w:hAnsi="Times New Roman" w:cs="Times New Roman"/>
                <w:sz w:val="22"/>
                <w:szCs w:val="22"/>
              </w:rPr>
              <w:t>Емаль алкідна ПФ-115 червона -2,8 кг.</w:t>
            </w:r>
          </w:p>
        </w:tc>
        <w:tc>
          <w:tcPr>
            <w:tcW w:w="968" w:type="dxa"/>
            <w:vAlign w:val="center"/>
          </w:tcPr>
          <w:p w:rsidR="00A744E9" w:rsidRPr="00AD29AE" w:rsidRDefault="00A744E9" w:rsidP="00A744E9">
            <w:pPr>
              <w:widowControl/>
              <w:suppressAutoHyphens/>
              <w:spacing w:line="276" w:lineRule="auto"/>
              <w:jc w:val="center"/>
              <w:rPr>
                <w:rFonts w:ascii="Times New Roman" w:eastAsia="SimSun" w:hAnsi="Times New Roman" w:cs="Times New Roman"/>
                <w:lang w:bidi="ar-SA"/>
              </w:rPr>
            </w:pPr>
            <w:r w:rsidRPr="00AD29AE">
              <w:rPr>
                <w:rFonts w:ascii="Times New Roman" w:hAnsi="Times New Roman" w:cs="Times New Roman"/>
                <w:sz w:val="22"/>
                <w:szCs w:val="22"/>
              </w:rPr>
              <w:t>24</w:t>
            </w:r>
          </w:p>
        </w:tc>
        <w:tc>
          <w:tcPr>
            <w:tcW w:w="5670" w:type="dxa"/>
            <w:vMerge/>
            <w:tcMar>
              <w:top w:w="0" w:type="dxa"/>
              <w:left w:w="108" w:type="dxa"/>
              <w:bottom w:w="0" w:type="dxa"/>
              <w:right w:w="108" w:type="dxa"/>
            </w:tcMar>
          </w:tcPr>
          <w:p w:rsidR="00A744E9" w:rsidRPr="00FB45B0" w:rsidRDefault="00A744E9" w:rsidP="00A744E9">
            <w:pPr>
              <w:widowControl/>
              <w:suppressAutoHyphens/>
              <w:spacing w:line="276" w:lineRule="auto"/>
              <w:jc w:val="center"/>
              <w:rPr>
                <w:rFonts w:ascii="Times New Roman" w:eastAsia="SimSun" w:hAnsi="Times New Roman" w:cs="Times New Roman"/>
                <w:lang w:bidi="ar-SA"/>
              </w:rPr>
            </w:pPr>
          </w:p>
        </w:tc>
      </w:tr>
    </w:tbl>
    <w:p w:rsidR="00FB45B0" w:rsidRPr="00FB45B0" w:rsidRDefault="00FB45B0" w:rsidP="00FB45B0">
      <w:pPr>
        <w:widowControl/>
        <w:shd w:val="clear" w:color="auto" w:fill="FFFFFF"/>
        <w:suppressAutoHyphens/>
        <w:ind w:right="144"/>
        <w:rPr>
          <w:rFonts w:ascii="Times New Roman" w:eastAsia="SimSun" w:hAnsi="Times New Roman" w:cs="Times New Roman"/>
          <w:b/>
          <w:bCs/>
          <w:color w:val="00000A"/>
          <w:lang w:bidi="ar-SA"/>
        </w:rPr>
      </w:pPr>
    </w:p>
    <w:p w:rsidR="00DA7163" w:rsidRDefault="00DA7163" w:rsidP="006505C3">
      <w:pPr>
        <w:suppressAutoHyphens/>
        <w:autoSpaceDE w:val="0"/>
        <w:jc w:val="both"/>
        <w:rPr>
          <w:rFonts w:ascii="Times New Roman" w:eastAsia="Calibri" w:hAnsi="Times New Roman" w:cs="Times New Roman"/>
          <w:b/>
          <w:color w:val="auto"/>
          <w:sz w:val="22"/>
          <w:szCs w:val="22"/>
          <w:lang w:eastAsia="zh-CN" w:bidi="ar-SA"/>
        </w:rPr>
      </w:pPr>
    </w:p>
    <w:p w:rsidR="006505C3" w:rsidRPr="006505C3" w:rsidRDefault="006505C3" w:rsidP="006505C3">
      <w:pPr>
        <w:suppressAutoHyphens/>
        <w:autoSpaceDE w:val="0"/>
        <w:jc w:val="both"/>
        <w:rPr>
          <w:rFonts w:ascii="Times New Roman" w:eastAsia="Calibri" w:hAnsi="Times New Roman" w:cs="Times New Roman"/>
          <w:b/>
          <w:color w:val="auto"/>
          <w:sz w:val="22"/>
          <w:szCs w:val="22"/>
          <w:lang w:eastAsia="zh-CN" w:bidi="ar-SA"/>
        </w:rPr>
      </w:pPr>
      <w:r w:rsidRPr="006505C3">
        <w:rPr>
          <w:rFonts w:ascii="Times New Roman" w:eastAsia="Calibri" w:hAnsi="Times New Roman" w:cs="Times New Roman"/>
          <w:b/>
          <w:color w:val="auto"/>
          <w:sz w:val="22"/>
          <w:szCs w:val="22"/>
          <w:lang w:eastAsia="zh-CN" w:bidi="ar-S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1. 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1) надає письмові пояснення виробника такого товару,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w:t>
      </w:r>
    </w:p>
    <w:p w:rsidR="0064048C"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 xml:space="preserve">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lastRenderedPageBreak/>
        <w:t>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(що повинні співпадати з іншими документами та посиланнями тендерної пропозиції).</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Поняття "введення в обіг" розуміється у змісті, визначеному Законом України "Про технічні регламенти та оцінку відповідності": введення в обіг - надання продукції на ринку України в перший раз.</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Учасник не обмежений в наданні додаткових доказів введення в обіг продукції, що пропонується, після 01.10.2023 року, крім тих, що наведені вище.</w:t>
      </w:r>
    </w:p>
    <w:p w:rsidR="006505C3" w:rsidRPr="006505C3" w:rsidRDefault="006505C3" w:rsidP="006505C3">
      <w:pPr>
        <w:suppressAutoHyphens/>
        <w:autoSpaceDE w:val="0"/>
        <w:contextualSpacing/>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При цьому вказівка кольору не є обов’язковою.</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2.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3.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паспорти/сертифікати якості.</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4. Сертифікат системи управління якістю виробника на відповідність вимогам ДСТУ ISO 9001:2015.</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5. Паспорти безпеки на кожен вид продукції у відповідності до Регламенту (ЕС) №1907/2006.</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6505C3" w:rsidRPr="006505C3" w:rsidRDefault="006505C3" w:rsidP="006505C3">
      <w:pPr>
        <w:suppressAutoHyphens/>
        <w:autoSpaceDE w:val="0"/>
        <w:ind w:firstLine="6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6505C3" w:rsidRPr="006505C3" w:rsidRDefault="006505C3" w:rsidP="006505C3">
      <w:pPr>
        <w:suppressAutoHyphens/>
        <w:autoSpaceDE w:val="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 xml:space="preserve">6. Копії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строку (терміну) придатності), розділ, що містить вимоги стосовно вмісту ЛОС у запропонованій продукції) завірені виробником продукції. Розділ з ТУ/ДСТУ, що містить технічні характеристики повинен повністю підтверджувати відповідність запропонованої продукції вимогам щодо фізико-хімічних показників предмету закупівлі, які містяться у цьому додатку. </w:t>
      </w:r>
      <w:bookmarkStart w:id="2" w:name="_Hlk156574253"/>
      <w:r w:rsidRPr="006505C3">
        <w:rPr>
          <w:rFonts w:ascii="Times New Roman" w:eastAsia="Times New Roman" w:hAnsi="Times New Roman" w:cs="Times New Roman"/>
          <w:color w:val="auto"/>
          <w:sz w:val="22"/>
          <w:szCs w:val="22"/>
          <w:lang w:eastAsia="zh-CN" w:bidi="ar-SA"/>
        </w:rPr>
        <w:t>Порівняння відповідності буде здійснюватися за нормативними показниками.</w:t>
      </w:r>
      <w:bookmarkEnd w:id="2"/>
    </w:p>
    <w:p w:rsidR="006505C3" w:rsidRPr="006505C3" w:rsidRDefault="006505C3" w:rsidP="006505C3">
      <w:pPr>
        <w:suppressAutoHyphens/>
        <w:autoSpaceDE w:val="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7.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6505C3" w:rsidRPr="006505C3" w:rsidRDefault="006505C3" w:rsidP="006505C3">
      <w:pPr>
        <w:suppressAutoHyphens/>
        <w:autoSpaceDE w:val="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які містяться у цьому додатку. Зразки етикеток повинні бути чіткими, належного рівня зображення;</w:t>
      </w:r>
    </w:p>
    <w:p w:rsidR="00DA7163" w:rsidRDefault="006505C3" w:rsidP="006505C3">
      <w:pPr>
        <w:suppressAutoHyphens/>
        <w:autoSpaceDE w:val="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6505C3" w:rsidRPr="006505C3" w:rsidRDefault="006505C3" w:rsidP="00DC7B5C">
      <w:pPr>
        <w:suppressAutoHyphens/>
        <w:autoSpaceDE w:val="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Під видом продукції розуміється конкретний продукт з вказів</w:t>
      </w:r>
      <w:r w:rsidR="00DC7B5C">
        <w:rPr>
          <w:rFonts w:ascii="Times New Roman" w:eastAsia="Times New Roman" w:hAnsi="Times New Roman" w:cs="Times New Roman"/>
          <w:color w:val="auto"/>
          <w:sz w:val="22"/>
          <w:szCs w:val="22"/>
          <w:lang w:eastAsia="zh-CN" w:bidi="ar-SA"/>
        </w:rPr>
        <w:t xml:space="preserve">кою його найменування, торгової </w:t>
      </w:r>
      <w:r w:rsidRPr="006505C3">
        <w:rPr>
          <w:rFonts w:ascii="Times New Roman" w:eastAsia="Times New Roman" w:hAnsi="Times New Roman" w:cs="Times New Roman"/>
          <w:color w:val="auto"/>
          <w:sz w:val="22"/>
          <w:szCs w:val="22"/>
          <w:lang w:eastAsia="zh-CN" w:bidi="ar-SA"/>
        </w:rPr>
        <w:t>марки тощо, що пропонується учасником. При цьому вказівка кольору не є обов’язковою.</w:t>
      </w:r>
    </w:p>
    <w:p w:rsidR="006505C3" w:rsidRPr="006505C3" w:rsidRDefault="006505C3" w:rsidP="006505C3">
      <w:pPr>
        <w:suppressAutoHyphens/>
        <w:autoSpaceDE w:val="0"/>
        <w:ind w:left="709" w:hanging="709"/>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8. Якщо учасник не є виробником продукції додатково необхідно надати наступні документи:</w:t>
      </w:r>
    </w:p>
    <w:p w:rsidR="006505C3" w:rsidRPr="006505C3" w:rsidRDefault="006505C3" w:rsidP="006505C3">
      <w:pPr>
        <w:suppressAutoHyphens/>
        <w:autoSpaceDE w:val="0"/>
        <w:ind w:firstLine="54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 xml:space="preserve">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w:t>
      </w:r>
      <w:r w:rsidRPr="006505C3">
        <w:rPr>
          <w:rFonts w:ascii="Times New Roman" w:eastAsia="Times New Roman" w:hAnsi="Times New Roman" w:cs="Times New Roman"/>
          <w:color w:val="auto"/>
          <w:sz w:val="22"/>
          <w:szCs w:val="22"/>
          <w:lang w:eastAsia="zh-CN" w:bidi="ar-SA"/>
        </w:rPr>
        <w:lastRenderedPageBreak/>
        <w:t>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rsidR="006505C3" w:rsidRPr="006505C3" w:rsidRDefault="006505C3" w:rsidP="006505C3">
      <w:pPr>
        <w:suppressAutoHyphens/>
        <w:autoSpaceDE w:val="0"/>
        <w:ind w:firstLine="540"/>
        <w:jc w:val="both"/>
        <w:rPr>
          <w:rFonts w:ascii="Times New Roman" w:eastAsia="Times New Roman" w:hAnsi="Times New Roman" w:cs="Times New Roman"/>
          <w:color w:val="auto"/>
          <w:sz w:val="22"/>
          <w:szCs w:val="22"/>
          <w:lang w:eastAsia="zh-CN" w:bidi="ar-SA"/>
        </w:rPr>
      </w:pPr>
      <w:r w:rsidRPr="006505C3">
        <w:rPr>
          <w:rFonts w:ascii="Times New Roman" w:eastAsia="Times New Roman" w:hAnsi="Times New Roman" w:cs="Times New Roman"/>
          <w:color w:val="auto"/>
          <w:sz w:val="22"/>
          <w:szCs w:val="22"/>
          <w:lang w:eastAsia="zh-CN" w:bidi="ar-SA"/>
        </w:rPr>
        <w:t>8.2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rsidR="006505C3" w:rsidRPr="006505C3" w:rsidRDefault="006505C3" w:rsidP="003C2806">
      <w:pPr>
        <w:widowControl/>
        <w:jc w:val="both"/>
        <w:rPr>
          <w:rFonts w:ascii="Times New Roman" w:eastAsia="Calibri" w:hAnsi="Times New Roman" w:cs="Times New Roman"/>
          <w:color w:val="auto"/>
          <w:sz w:val="22"/>
          <w:szCs w:val="22"/>
          <w:lang w:eastAsia="ru-RU" w:bidi="ar-SA"/>
        </w:rPr>
      </w:pPr>
      <w:bookmarkStart w:id="3" w:name="_Hlk109075261"/>
      <w:r w:rsidRPr="006505C3">
        <w:rPr>
          <w:rFonts w:ascii="Times New Roman" w:eastAsia="Calibri" w:hAnsi="Times New Roman" w:cs="Times New Roman"/>
          <w:color w:val="auto"/>
          <w:sz w:val="22"/>
          <w:szCs w:val="22"/>
          <w:lang w:eastAsia="ru-RU" w:bidi="ar-S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6505C3" w:rsidRPr="006505C3" w:rsidRDefault="006505C3" w:rsidP="003C2806">
      <w:pPr>
        <w:widowControl/>
        <w:shd w:val="clear" w:color="auto" w:fill="FFFFFF"/>
        <w:jc w:val="both"/>
        <w:rPr>
          <w:rFonts w:ascii="Times New Roman" w:eastAsia="Calibri" w:hAnsi="Times New Roman" w:cs="Times New Roman"/>
          <w:color w:val="auto"/>
          <w:sz w:val="22"/>
          <w:szCs w:val="22"/>
          <w:lang w:eastAsia="ru-RU" w:bidi="ar-SA"/>
        </w:rPr>
      </w:pPr>
      <w:r w:rsidRPr="006505C3">
        <w:rPr>
          <w:rFonts w:ascii="Times New Roman" w:eastAsia="Calibri" w:hAnsi="Times New Roman" w:cs="Times New Roman"/>
          <w:sz w:val="22"/>
          <w:szCs w:val="22"/>
          <w:lang w:eastAsia="ru-RU" w:bidi="ar-S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3"/>
    </w:p>
    <w:p w:rsidR="006505C3" w:rsidRPr="006505C3" w:rsidRDefault="006505C3" w:rsidP="003C2806">
      <w:pPr>
        <w:widowControl/>
        <w:shd w:val="clear" w:color="auto" w:fill="FFFFFF"/>
        <w:jc w:val="both"/>
        <w:rPr>
          <w:rFonts w:ascii="Times New Roman" w:eastAsia="Calibri" w:hAnsi="Times New Roman" w:cs="Times New Roman"/>
          <w:color w:val="auto"/>
          <w:sz w:val="22"/>
          <w:szCs w:val="22"/>
          <w:lang w:eastAsia="ru-RU" w:bidi="ar-SA"/>
        </w:rPr>
      </w:pPr>
      <w:r w:rsidRPr="006505C3">
        <w:rPr>
          <w:rFonts w:ascii="Times New Roman" w:eastAsia="Calibri" w:hAnsi="Times New Roman" w:cs="Times New Roman"/>
          <w:sz w:val="22"/>
          <w:szCs w:val="22"/>
          <w:lang w:eastAsia="ru-RU" w:bidi="ar-SA"/>
        </w:rPr>
        <w:t>Назва продукції, що зазначена у всіх документах, поданих для участі у процедурі закупівлі буде також зазначена у договорі, укладеному з переможцем процедури закупівлі.</w:t>
      </w:r>
    </w:p>
    <w:p w:rsidR="00592F99" w:rsidRPr="00242C63" w:rsidRDefault="006505C3" w:rsidP="006505C3">
      <w:pPr>
        <w:widowControl/>
        <w:shd w:val="clear" w:color="auto" w:fill="FFFFFF"/>
        <w:suppressAutoHyphens/>
        <w:spacing w:line="259" w:lineRule="auto"/>
        <w:jc w:val="both"/>
      </w:pPr>
      <w:r w:rsidRPr="006505C3">
        <w:rPr>
          <w:rFonts w:ascii="Times New Roman" w:eastAsia="Calibri" w:hAnsi="Times New Roman" w:cs="Times New Roman"/>
          <w:sz w:val="22"/>
          <w:szCs w:val="22"/>
          <w:lang w:eastAsia="ru-RU" w:bidi="ar-SA"/>
        </w:rPr>
        <w:t xml:space="preserve">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w:t>
      </w:r>
      <w:r w:rsidRPr="005E04C6">
        <w:rPr>
          <w:rFonts w:ascii="Times New Roman" w:eastAsia="Calibri" w:hAnsi="Times New Roman" w:cs="Times New Roman"/>
          <w:sz w:val="22"/>
          <w:szCs w:val="22"/>
          <w:lang w:val="ru-RU" w:eastAsia="ru-RU" w:bidi="ar-SA"/>
        </w:rPr>
        <w:t>вміст ЛОС</w:t>
      </w:r>
      <w:r w:rsidRPr="006505C3">
        <w:rPr>
          <w:rFonts w:ascii="Times New Roman" w:eastAsia="Calibri" w:hAnsi="Times New Roman" w:cs="Times New Roman"/>
          <w:sz w:val="22"/>
          <w:szCs w:val="22"/>
          <w:lang w:eastAsia="ru-RU" w:bidi="ar-SA"/>
        </w:rPr>
        <w:t>). Будь-яка невідповідність призведе до відмови від приймання продукції та застосування штрафних санкцій відповідно до умов договору.</w:t>
      </w:r>
    </w:p>
    <w:sectPr w:rsidR="00592F99" w:rsidRPr="00242C63" w:rsidSect="00AD29AE">
      <w:type w:val="continuous"/>
      <w:pgSz w:w="11906" w:h="16838" w:code="9"/>
      <w:pgMar w:top="568" w:right="850"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8E7" w:rsidRDefault="005168E7">
      <w:r>
        <w:separator/>
      </w:r>
    </w:p>
  </w:endnote>
  <w:endnote w:type="continuationSeparator" w:id="1">
    <w:p w:rsidR="005168E7" w:rsidRDefault="00516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8E7" w:rsidRDefault="005168E7">
      <w:r>
        <w:separator/>
      </w:r>
    </w:p>
  </w:footnote>
  <w:footnote w:type="continuationSeparator" w:id="1">
    <w:p w:rsidR="005168E7" w:rsidRDefault="00516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351D8"/>
    <w:multiLevelType w:val="hybridMultilevel"/>
    <w:tmpl w:val="65700F68"/>
    <w:lvl w:ilvl="0" w:tplc="04190001">
      <w:start w:val="1"/>
      <w:numFmt w:val="bullet"/>
      <w:lvlText w:val=""/>
      <w:lvlJc w:val="left"/>
      <w:pPr>
        <w:tabs>
          <w:tab w:val="num" w:pos="720"/>
        </w:tabs>
        <w:ind w:left="720" w:hanging="360"/>
      </w:pPr>
      <w:rPr>
        <w:rFonts w:ascii="Symbol" w:hAnsi="Symbol" w:hint="default"/>
      </w:rPr>
    </w:lvl>
    <w:lvl w:ilvl="1" w:tplc="59C2DE84">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6514CDD"/>
    <w:multiLevelType w:val="multilevel"/>
    <w:tmpl w:val="F91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10B8A"/>
    <w:multiLevelType w:val="hybridMultilevel"/>
    <w:tmpl w:val="9CBE96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1D4E"/>
    <w:rsid w:val="000060ED"/>
    <w:rsid w:val="00010F91"/>
    <w:rsid w:val="0006061E"/>
    <w:rsid w:val="00061D6D"/>
    <w:rsid w:val="00125B6F"/>
    <w:rsid w:val="001339CE"/>
    <w:rsid w:val="001B00F8"/>
    <w:rsid w:val="00202BF1"/>
    <w:rsid w:val="002136CD"/>
    <w:rsid w:val="00242C63"/>
    <w:rsid w:val="00275A77"/>
    <w:rsid w:val="002B42FE"/>
    <w:rsid w:val="002F4AAF"/>
    <w:rsid w:val="003C2806"/>
    <w:rsid w:val="003C4342"/>
    <w:rsid w:val="003E4995"/>
    <w:rsid w:val="004007A8"/>
    <w:rsid w:val="00413FB1"/>
    <w:rsid w:val="00417A47"/>
    <w:rsid w:val="004546D1"/>
    <w:rsid w:val="00487088"/>
    <w:rsid w:val="004E1618"/>
    <w:rsid w:val="004F2C81"/>
    <w:rsid w:val="004F7D19"/>
    <w:rsid w:val="005102AF"/>
    <w:rsid w:val="005168E7"/>
    <w:rsid w:val="00541A45"/>
    <w:rsid w:val="00592F99"/>
    <w:rsid w:val="005A1212"/>
    <w:rsid w:val="005A3252"/>
    <w:rsid w:val="005B218D"/>
    <w:rsid w:val="005E04C6"/>
    <w:rsid w:val="005E51E7"/>
    <w:rsid w:val="00602D42"/>
    <w:rsid w:val="0064048C"/>
    <w:rsid w:val="006505C3"/>
    <w:rsid w:val="00660AB8"/>
    <w:rsid w:val="00670401"/>
    <w:rsid w:val="006954F5"/>
    <w:rsid w:val="0075152D"/>
    <w:rsid w:val="007539F8"/>
    <w:rsid w:val="0076568B"/>
    <w:rsid w:val="007C08F0"/>
    <w:rsid w:val="007F682B"/>
    <w:rsid w:val="008035E0"/>
    <w:rsid w:val="00831BA3"/>
    <w:rsid w:val="008A136A"/>
    <w:rsid w:val="0096089C"/>
    <w:rsid w:val="00966B20"/>
    <w:rsid w:val="009779B3"/>
    <w:rsid w:val="009D54C1"/>
    <w:rsid w:val="00A168FC"/>
    <w:rsid w:val="00A744E9"/>
    <w:rsid w:val="00AD29AE"/>
    <w:rsid w:val="00B47DF4"/>
    <w:rsid w:val="00BA67D3"/>
    <w:rsid w:val="00BD53E4"/>
    <w:rsid w:val="00BF089D"/>
    <w:rsid w:val="00BF6530"/>
    <w:rsid w:val="00C417F6"/>
    <w:rsid w:val="00C82343"/>
    <w:rsid w:val="00C9372C"/>
    <w:rsid w:val="00C94895"/>
    <w:rsid w:val="00CA1A09"/>
    <w:rsid w:val="00CC274E"/>
    <w:rsid w:val="00CD49FC"/>
    <w:rsid w:val="00CF743F"/>
    <w:rsid w:val="00D3176E"/>
    <w:rsid w:val="00D33239"/>
    <w:rsid w:val="00D8772D"/>
    <w:rsid w:val="00DA7163"/>
    <w:rsid w:val="00DC7B5C"/>
    <w:rsid w:val="00DD3BE1"/>
    <w:rsid w:val="00DE522D"/>
    <w:rsid w:val="00E36DC2"/>
    <w:rsid w:val="00E41D4E"/>
    <w:rsid w:val="00E513E2"/>
    <w:rsid w:val="00EA1186"/>
    <w:rsid w:val="00EB0B9C"/>
    <w:rsid w:val="00EB7332"/>
    <w:rsid w:val="00EC32B7"/>
    <w:rsid w:val="00EC7938"/>
    <w:rsid w:val="00ED27BE"/>
    <w:rsid w:val="00F67D04"/>
    <w:rsid w:val="00F74D4F"/>
    <w:rsid w:val="00FB45B0"/>
    <w:rsid w:val="00FF4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2F9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2C"/>
    <w:pPr>
      <w:tabs>
        <w:tab w:val="center" w:pos="4677"/>
        <w:tab w:val="right" w:pos="9355"/>
      </w:tabs>
    </w:pPr>
  </w:style>
  <w:style w:type="character" w:customStyle="1" w:styleId="a4">
    <w:name w:val="Верхний колонтитул Знак"/>
    <w:basedOn w:val="a0"/>
    <w:link w:val="a3"/>
    <w:uiPriority w:val="99"/>
    <w:rsid w:val="00C9372C"/>
  </w:style>
  <w:style w:type="paragraph" w:styleId="a5">
    <w:name w:val="footer"/>
    <w:basedOn w:val="a"/>
    <w:link w:val="a6"/>
    <w:uiPriority w:val="99"/>
    <w:unhideWhenUsed/>
    <w:rsid w:val="004E1618"/>
    <w:pPr>
      <w:tabs>
        <w:tab w:val="center" w:pos="4677"/>
        <w:tab w:val="right" w:pos="9355"/>
      </w:tabs>
    </w:pPr>
  </w:style>
  <w:style w:type="character" w:customStyle="1" w:styleId="a6">
    <w:name w:val="Нижний колонтитул Знак"/>
    <w:basedOn w:val="a0"/>
    <w:link w:val="a5"/>
    <w:uiPriority w:val="99"/>
    <w:rsid w:val="004E1618"/>
  </w:style>
  <w:style w:type="character" w:customStyle="1" w:styleId="2">
    <w:name w:val="Основной текст (2)_"/>
    <w:link w:val="20"/>
    <w:rsid w:val="00592F99"/>
    <w:rPr>
      <w:rFonts w:ascii="Times New Roman" w:eastAsia="Times New Roman" w:hAnsi="Times New Roman" w:cs="Times New Roman"/>
      <w:shd w:val="clear" w:color="auto" w:fill="FFFFFF"/>
    </w:rPr>
  </w:style>
  <w:style w:type="character" w:customStyle="1" w:styleId="3">
    <w:name w:val="Основной текст (3) + Не полужирный"/>
    <w:rsid w:val="00592F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0">
    <w:name w:val="Основной текст (2)"/>
    <w:basedOn w:val="a"/>
    <w:link w:val="2"/>
    <w:rsid w:val="00592F99"/>
    <w:pPr>
      <w:shd w:val="clear" w:color="auto" w:fill="FFFFFF"/>
      <w:spacing w:line="274" w:lineRule="exact"/>
      <w:ind w:hanging="400"/>
      <w:jc w:val="both"/>
    </w:pPr>
    <w:rPr>
      <w:rFonts w:ascii="Times New Roman" w:eastAsia="Times New Roman" w:hAnsi="Times New Roman" w:cs="Times New Roman"/>
      <w:color w:val="auto"/>
      <w:sz w:val="22"/>
      <w:szCs w:val="22"/>
      <w:lang w:val="ru-RU" w:eastAsia="en-US" w:bidi="ar-SA"/>
    </w:rPr>
  </w:style>
  <w:style w:type="paragraph" w:styleId="a7">
    <w:name w:val="No Spacing"/>
    <w:link w:val="a8"/>
    <w:uiPriority w:val="1"/>
    <w:qFormat/>
    <w:rsid w:val="00592F99"/>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1"/>
    <w:rsid w:val="00592F99"/>
    <w:rPr>
      <w:rFonts w:ascii="Calibri" w:eastAsia="Times New Roman" w:hAnsi="Calibri" w:cs="Times New Roman"/>
      <w:lang w:val="uk-UA"/>
    </w:rPr>
  </w:style>
  <w:style w:type="paragraph" w:customStyle="1" w:styleId="rvps2">
    <w:name w:val="rvps2"/>
    <w:basedOn w:val="a"/>
    <w:rsid w:val="00592F9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
    <w:name w:val="Звичайний (веб)1"/>
    <w:basedOn w:val="a"/>
    <w:rsid w:val="00592F99"/>
    <w:pPr>
      <w:widowControl/>
      <w:overflowPunct w:val="0"/>
      <w:autoSpaceDE w:val="0"/>
      <w:autoSpaceDN w:val="0"/>
      <w:adjustRightInd w:val="0"/>
      <w:spacing w:before="100" w:after="100"/>
    </w:pPr>
    <w:rPr>
      <w:rFonts w:ascii="Times New Roman" w:eastAsia="Times New Roman" w:hAnsi="Times New Roman" w:cs="Times New Roman"/>
      <w:color w:val="auto"/>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308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6350</Words>
  <Characters>3620</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2024-03-01T07:59:00Z</dcterms:created>
  <dcterms:modified xsi:type="dcterms:W3CDTF">2024-03-01T08:05:00Z</dcterms:modified>
</cp:coreProperties>
</file>