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5" w:rsidRPr="00204EE8" w:rsidRDefault="005F5145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204EE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2D105C" w:rsidRPr="00E152B5" w:rsidRDefault="002D105C" w:rsidP="005F514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:rsidR="00DF6FB7" w:rsidRDefault="00DF6FB7" w:rsidP="00266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6BEA" w:rsidRDefault="00D442F7" w:rsidP="00266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Медико-технічні вимоги до</w:t>
      </w:r>
      <w:r w:rsidR="00C83E52">
        <w:rPr>
          <w:rFonts w:ascii="Times New Roman" w:hAnsi="Times New Roman"/>
          <w:b/>
          <w:sz w:val="24"/>
          <w:szCs w:val="24"/>
        </w:rPr>
        <w:t xml:space="preserve"> тест-систем діагностичних </w:t>
      </w:r>
      <w:r w:rsidR="001E5A4F">
        <w:rPr>
          <w:rFonts w:ascii="Times New Roman" w:hAnsi="Times New Roman"/>
          <w:b/>
          <w:sz w:val="24"/>
          <w:szCs w:val="24"/>
        </w:rPr>
        <w:t xml:space="preserve">згідно </w:t>
      </w:r>
      <w:r w:rsidR="00C83E52" w:rsidRPr="00C83E52">
        <w:rPr>
          <w:rFonts w:ascii="Times New Roman" w:hAnsi="Times New Roman"/>
          <w:b/>
          <w:sz w:val="24"/>
          <w:szCs w:val="24"/>
        </w:rPr>
        <w:t>ДК 021:2015 - 33120000-7- Системи реєстрації медичної інформації та дослідне обладнання (тест-системи діагностичні)</w:t>
      </w:r>
    </w:p>
    <w:tbl>
      <w:tblPr>
        <w:tblW w:w="107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560"/>
        <w:gridCol w:w="3685"/>
        <w:gridCol w:w="851"/>
        <w:gridCol w:w="992"/>
        <w:gridCol w:w="1417"/>
      </w:tblGrid>
      <w:tr w:rsidR="00194F1E" w:rsidTr="00DD1036">
        <w:trPr>
          <w:cantSplit/>
          <w:trHeight w:val="116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FF" w:rsidRDefault="00194F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194F1E" w:rsidRPr="009523FF" w:rsidRDefault="00194F1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Pr="009523FF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523FF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</w:rPr>
              <w:t>НК 024:2023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523FF" w:rsidRDefault="00194F1E" w:rsidP="00D4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</w:rPr>
              <w:t xml:space="preserve">Медико – технічні характеристики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1E" w:rsidRPr="009523FF" w:rsidRDefault="0019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Кіль</w:t>
            </w:r>
            <w:r w:rsidRPr="009523F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E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Од. </w:t>
            </w:r>
          </w:p>
          <w:p w:rsidR="00194F1E" w:rsidRPr="009523FF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виміру</w:t>
            </w:r>
          </w:p>
          <w:p w:rsidR="00194F1E" w:rsidRPr="009523FF" w:rsidRDefault="00194F1E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1E" w:rsidRPr="009523FF" w:rsidRDefault="00194F1E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523FF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Відповідність</w:t>
            </w:r>
            <w:r w:rsidRPr="009523FF">
              <w:rPr>
                <w:rFonts w:ascii="Times New Roman" w:eastAsia="MS Mincho" w:hAnsi="Times New Roman"/>
                <w:b/>
                <w:bCs/>
                <w:sz w:val="20"/>
                <w:szCs w:val="20"/>
                <w:lang w:val="ru-RU" w:eastAsia="ja-JP"/>
              </w:rPr>
              <w:t xml:space="preserve"> </w:t>
            </w:r>
            <w:r w:rsidRPr="009523FF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так/ні</w:t>
            </w:r>
          </w:p>
        </w:tc>
      </w:tr>
      <w:tr w:rsidR="001E5A4F" w:rsidRPr="001E5A4F" w:rsidTr="00DD1036">
        <w:trPr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Тропоніну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W203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54010-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Тропонін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IVD (діагностика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флюоресцентний</w:t>
            </w:r>
            <w:proofErr w:type="spellEnd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імуноаналіз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7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кількісної експрес-діагностики методом флуоресцентного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="007D46FB"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 w:rsid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6FB" w:rsidRDefault="007D46FB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cTnl</w:t>
            </w:r>
            <w:proofErr w:type="spellEnd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0.1 - 50 </w:t>
            </w:r>
            <w:proofErr w:type="spellStart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="0015619E"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 w:rsid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Pr="00AD3DE9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C83E52" w:rsidRDefault="00D74113" w:rsidP="001E5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C83E52" w:rsidRDefault="00D74113" w:rsidP="001E5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4F" w:rsidRPr="001E5A4F" w:rsidTr="00DD1036">
        <w:trPr>
          <w:trHeight w:val="2028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1E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Трийодтироніну</w:t>
            </w:r>
            <w:proofErr w:type="spellEnd"/>
            <w:r w:rsidRPr="00C83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(Т3) W231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63082-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Загальний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трийодотиронін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(TT3) IVD (діагностика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комплект,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імуноаналізу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vitro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аналітичній системі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Finecare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FIA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619E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Діапазон тестування:</w:t>
            </w:r>
            <w:r>
              <w:t xml:space="preserve"> </w:t>
            </w: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0,61 – 9,22 </w:t>
            </w:r>
            <w:proofErr w:type="spellStart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нмоль</w:t>
            </w:r>
            <w:proofErr w:type="spellEnd"/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619E" w:rsidRPr="00AD3DE9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 проби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156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4F" w:rsidRPr="001E5A4F" w:rsidTr="00DD1036">
        <w:trPr>
          <w:trHeight w:val="211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C83E52" w:rsidP="001E5A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Тироксину вільного (fТ4) W259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63071- 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Вільний тироксин (FT4) IVD (діагностика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комплект,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1-100 </w:t>
            </w:r>
            <w:proofErr w:type="spellStart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пмоль</w:t>
            </w:r>
            <w:proofErr w:type="spellEnd"/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Pr="0015619E" w:rsidRDefault="0015619E" w:rsidP="0015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56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19E" w:rsidRPr="00AD3DE9" w:rsidRDefault="0015619E" w:rsidP="00204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783C01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Тиреотропного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гормону (ТТГ) W220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83E52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54384-</w:t>
            </w:r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Тиреоїдний гормон (ТТГ) IVD (діагностика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імунофлюоресцентний</w:t>
            </w:r>
            <w:proofErr w:type="spellEnd"/>
            <w:r w:rsidRPr="00C83E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– 100,00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783C01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(HbA1c)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Глікованого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гемоглобіну W207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61010 -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Глікозильований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гемоглобін (HbA1c)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імунохемілюмінесцентний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4.0-14.5%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204E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цільна кров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Простатичного специфічного антигену W209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54666 -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Загальний простатичний специфічний антиген (ПСА)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2 - 100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6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Пролактину</w:t>
            </w:r>
          </w:p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58765 -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Пролактин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/мл - 200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D-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дімеру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61389 -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D-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димер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– 10 мг/л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E803FD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1E5A4F" w:rsidP="00DC581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6" w:rsidRDefault="00C83E52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прокальцитоніну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5A4F" w:rsidRPr="001E5A4F" w:rsidRDefault="00C83E52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DC58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54313-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Прокальцитонін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E803FD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Default="00E803FD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0.1-100 </w:t>
            </w:r>
            <w:proofErr w:type="spellStart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E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3FD" w:rsidRPr="00AD3DE9" w:rsidRDefault="00D74113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1E5A4F" w:rsidP="00DC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36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С-реактивного білка</w:t>
            </w:r>
          </w:p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58768 - </w:t>
            </w:r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С-реактивний білок (СРБ)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3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— 200 мг/л </w:t>
            </w:r>
          </w:p>
          <w:p w:rsidR="00D74113" w:rsidRPr="00AD3DE9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C83E52" w:rsidP="001E5A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Ферритину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CB5924" w:rsidP="001E5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58769 -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Феритин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IVD (діагностика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), набір,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імунофлуоресцентний</w:t>
            </w:r>
            <w:proofErr w:type="spellEnd"/>
            <w:r w:rsidRPr="00CB5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5-1000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Pr="00AD3DE9" w:rsidRDefault="00D74113" w:rsidP="009523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1E5A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E5A4F" w:rsidRPr="001E5A4F" w:rsidTr="00DD1036">
        <w:trPr>
          <w:trHeight w:val="119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Pr="001E5A4F" w:rsidRDefault="001E5A4F" w:rsidP="00DC581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36" w:rsidRDefault="00C83E52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Тест-система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кількісної експрес діагностики </w:t>
            </w:r>
            <w:proofErr w:type="spellStart"/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Креатинкінази</w:t>
            </w:r>
            <w:proofErr w:type="spellEnd"/>
          </w:p>
          <w:p w:rsidR="001E5A4F" w:rsidRPr="001E5A4F" w:rsidRDefault="00C83E52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 W205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2914B4" w:rsidP="00DC58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61385 —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Креатинкіназа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ізофермента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міокарду IVD (діагностика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vitro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набір, </w:t>
            </w:r>
            <w:proofErr w:type="spellStart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імунофлюоресцентний</w:t>
            </w:r>
            <w:proofErr w:type="spellEnd"/>
            <w:r w:rsidRPr="00291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аналіз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F" w:rsidRDefault="00D74113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кількісної експрес-діагностики методом флуоресцентного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імуноаналізу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аналітичній системі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тестування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CK-MB: 0.3 - 100 </w:t>
            </w:r>
            <w:proofErr w:type="spellStart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Pr="00D74113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проби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7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цільна кров, плазма, сироватка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113" w:rsidRPr="00AD3DE9" w:rsidRDefault="00D74113" w:rsidP="00DC58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A4F" w:rsidRPr="001E5A4F" w:rsidRDefault="00D74113" w:rsidP="00DC5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F" w:rsidRPr="001E5A4F" w:rsidRDefault="001E5A4F" w:rsidP="001E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A127C" w:rsidRPr="00DC581C" w:rsidRDefault="00194F1E" w:rsidP="008A127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8A127C" w:rsidRPr="00DC581C">
        <w:rPr>
          <w:rFonts w:ascii="Times New Roman" w:eastAsia="Andale Sans UI" w:hAnsi="Times New Roman" w:cs="Times New Roman"/>
          <w:b/>
          <w:bCs/>
          <w:color w:val="222222"/>
          <w:kern w:val="2"/>
          <w:sz w:val="24"/>
          <w:szCs w:val="24"/>
        </w:rPr>
        <w:t>ЗАГАЛЬНІ ВИМОГИ:</w:t>
      </w:r>
    </w:p>
    <w:p w:rsidR="00CD3E33" w:rsidRPr="00DC581C" w:rsidRDefault="00CD3E33" w:rsidP="00CD3E33">
      <w:pPr>
        <w:numPr>
          <w:ilvl w:val="0"/>
          <w:numId w:val="15"/>
        </w:numPr>
        <w:tabs>
          <w:tab w:val="left" w:pos="36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CD3E33" w:rsidRPr="00DC581C" w:rsidRDefault="00CD3E33" w:rsidP="00CD3E33">
      <w:pPr>
        <w:tabs>
          <w:tab w:val="left" w:pos="36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-91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 підтвердження Учасник повинен надати копію декларації або копію документів, що підтверджують можливість введення в обіг та/або експлуатацію (застосування) медичного виробу за </w:t>
      </w:r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результатами проходження процедури оцінки відповідності згідно вимог технічного регламенту, або з урахуванням вимог постанови Кабінету Міністрів України від 02.10.2013 №754 «Про затвердження Технічного регламенту щодо медичних виробів для діагностики </w:t>
      </w:r>
      <w:proofErr w:type="spellStart"/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invitro</w:t>
      </w:r>
      <w:proofErr w:type="spellEnd"/>
      <w:r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».</w:t>
      </w:r>
    </w:p>
    <w:p w:rsidR="00CD3E33" w:rsidRPr="00DC581C" w:rsidRDefault="00CD3E33" w:rsidP="00CD3E33">
      <w:pPr>
        <w:numPr>
          <w:ilvl w:val="0"/>
          <w:numId w:val="15"/>
        </w:numPr>
        <w:tabs>
          <w:tab w:val="left" w:pos="36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/>
          <w:sz w:val="24"/>
          <w:szCs w:val="24"/>
          <w:lang w:eastAsia="uk-UA"/>
        </w:rPr>
        <w:t>Надати копі</w:t>
      </w:r>
      <w:r w:rsidR="00DD1036">
        <w:rPr>
          <w:rFonts w:ascii="Times New Roman" w:eastAsia="Times New Roman" w:hAnsi="Times New Roman"/>
          <w:sz w:val="24"/>
          <w:szCs w:val="24"/>
          <w:lang w:eastAsia="uk-UA"/>
        </w:rPr>
        <w:t>ї</w:t>
      </w:r>
      <w:bookmarkStart w:id="0" w:name="_GoBack"/>
      <w:bookmarkEnd w:id="0"/>
      <w:r w:rsidRPr="00DC581C">
        <w:rPr>
          <w:rFonts w:ascii="Times New Roman" w:eastAsia="Times New Roman" w:hAnsi="Times New Roman"/>
          <w:sz w:val="24"/>
          <w:szCs w:val="24"/>
          <w:lang w:eastAsia="uk-UA"/>
        </w:rPr>
        <w:t xml:space="preserve"> інструкці</w:t>
      </w:r>
      <w:r w:rsidR="00DD1036">
        <w:rPr>
          <w:rFonts w:ascii="Times New Roman" w:eastAsia="Times New Roman" w:hAnsi="Times New Roman"/>
          <w:sz w:val="24"/>
          <w:szCs w:val="24"/>
          <w:lang w:eastAsia="uk-UA"/>
        </w:rPr>
        <w:t>й</w:t>
      </w:r>
      <w:r w:rsidRPr="00DC581C">
        <w:rPr>
          <w:rFonts w:ascii="Times New Roman" w:eastAsia="Times New Roman" w:hAnsi="Times New Roman"/>
          <w:sz w:val="24"/>
          <w:szCs w:val="24"/>
          <w:lang w:eastAsia="uk-UA"/>
        </w:rPr>
        <w:t xml:space="preserve"> на українській мові.</w:t>
      </w:r>
    </w:p>
    <w:p w:rsidR="008A127C" w:rsidRPr="00DC581C" w:rsidRDefault="00CD3E33" w:rsidP="009523FF">
      <w:pPr>
        <w:shd w:val="clear" w:color="auto" w:fill="FFFFFF"/>
        <w:spacing w:after="0" w:line="240" w:lineRule="auto"/>
        <w:ind w:left="-1276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3</w:t>
      </w:r>
      <w:r w:rsidR="008A127C"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</w:t>
      </w:r>
      <w:r w:rsidR="008A127C"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З метою запобігання закупівлі фальсифікатів та отримання гарантій на своєчасне постачання товару у кількості та якості, яких вимагає ця документація, Учасник повинен надати </w:t>
      </w:r>
      <w:r w:rsidR="00CA4420"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копії</w:t>
      </w:r>
      <w:r w:rsidR="008A127C" w:rsidRPr="00DC581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гарантійних листів виробників або їх офіційних представників (якщо їх повноваження поширюються на територію 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виробника повинен містити посилання на повну назву Учасника, номер оголошення.</w:t>
      </w:r>
    </w:p>
    <w:p w:rsidR="00204EE8" w:rsidRPr="00DC581C" w:rsidRDefault="00CD3E33" w:rsidP="00204EE8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4</w:t>
      </w:r>
      <w:r w:rsidR="00204EE8"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. </w:t>
      </w:r>
      <w:r w:rsidR="00204EE8" w:rsidRPr="00DC58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>Остаточний термін придатності на момент поставки товару повинен бути не менше 80% від загального терміну придатності. (надання гарантійного листа Учасника).</w:t>
      </w:r>
      <w:r w:rsidR="002011AD"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 </w:t>
      </w:r>
    </w:p>
    <w:p w:rsidR="002011AD" w:rsidRPr="00DC581C" w:rsidRDefault="00204EE8" w:rsidP="00204EE8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                                                          </w:t>
      </w:r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</w:rPr>
        <w:t>Інформування щодо еквівалентності: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sz w:val="24"/>
          <w:szCs w:val="24"/>
        </w:rPr>
        <w:t xml:space="preserve">*  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DC581C">
        <w:rPr>
          <w:rFonts w:ascii="Times New Roman" w:eastAsia="Times New Roman" w:hAnsi="Times New Roman" w:cs="Times New Roman"/>
          <w:b/>
          <w:sz w:val="24"/>
          <w:szCs w:val="24"/>
        </w:rPr>
        <w:t>«або еквівалент».</w:t>
      </w:r>
      <w:r w:rsidRPr="00DC581C">
        <w:rPr>
          <w:rFonts w:ascii="Times New Roman" w:eastAsia="Times New Roman" w:hAnsi="Times New Roman" w:cs="Times New Roman"/>
          <w:sz w:val="24"/>
          <w:szCs w:val="24"/>
        </w:rPr>
        <w:t xml:space="preserve"> У разі подачі еквіваленту товару, учасник подає порівняльну характеристику запропонованого ним товару та товару, що визначений в медико-технічних вимогах з відомостями щодо відповідності вимогам замовника.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bCs/>
          <w:sz w:val="24"/>
          <w:szCs w:val="24"/>
        </w:rPr>
        <w:t>У разі надання еквіваленту товару Учасник подає у складі тендерної пропозиції порівняльну таблицю еквівалентності у наступній формі: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11AD" w:rsidRPr="00DC581C" w:rsidRDefault="009523FF" w:rsidP="009523FF">
      <w:pPr>
        <w:spacing w:after="0" w:line="240" w:lineRule="auto"/>
        <w:ind w:left="-284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proofErr w:type="spellStart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Довідка</w:t>
      </w:r>
      <w:proofErr w:type="spellEnd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яка </w:t>
      </w:r>
      <w:proofErr w:type="spellStart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підтверджує</w:t>
      </w:r>
      <w:proofErr w:type="spellEnd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еквівалентність</w:t>
      </w:r>
      <w:proofErr w:type="spellEnd"/>
      <w:r w:rsidR="002011AD" w:rsidRPr="00DC58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товару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1701"/>
        <w:gridCol w:w="3260"/>
        <w:gridCol w:w="1985"/>
      </w:tblGrid>
      <w:tr w:rsidR="002011AD" w:rsidRPr="00DC581C" w:rsidTr="00951EE6">
        <w:trPr>
          <w:trHeight w:val="56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FF" w:rsidRPr="00DC581C" w:rsidRDefault="002011AD" w:rsidP="00B84AB1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 відповідно до</w:t>
            </w:r>
          </w:p>
          <w:p w:rsidR="002011AD" w:rsidRPr="00DC581C" w:rsidRDefault="002011AD" w:rsidP="00B84AB1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FF" w:rsidRPr="00DC581C" w:rsidRDefault="002011AD" w:rsidP="009523FF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запропонованого товару</w:t>
            </w:r>
          </w:p>
          <w:p w:rsidR="002011AD" w:rsidRPr="00DC581C" w:rsidRDefault="002011AD" w:rsidP="009523FF">
            <w:pPr>
              <w:spacing w:after="0" w:line="240" w:lineRule="auto"/>
              <w:ind w:left="-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у тендерній пропозиції</w:t>
            </w:r>
          </w:p>
        </w:tc>
      </w:tr>
      <w:tr w:rsidR="002011AD" w:rsidRPr="00DC581C" w:rsidTr="00951EE6">
        <w:trPr>
          <w:trHeight w:val="86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C581C" w:rsidRDefault="002011AD" w:rsidP="00B84AB1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Торгівельна назва,</w:t>
            </w:r>
          </w:p>
          <w:p w:rsidR="002011AD" w:rsidRPr="00DC581C" w:rsidRDefault="002011AD" w:rsidP="00B84AB1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випуску, дозування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6F1BD2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Торгівельна назва,</w:t>
            </w:r>
          </w:p>
          <w:p w:rsidR="002011AD" w:rsidRPr="00DC581C" w:rsidRDefault="002011AD" w:rsidP="009523FF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випуску, дозування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2011AD" w:rsidRPr="00DC581C" w:rsidTr="00951EE6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AD" w:rsidRPr="00DC581C" w:rsidRDefault="002011AD" w:rsidP="009523FF">
            <w:pPr>
              <w:spacing w:after="0" w:line="240" w:lineRule="auto"/>
              <w:ind w:left="-284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sz w:val="24"/>
          <w:szCs w:val="24"/>
        </w:rPr>
        <w:t xml:space="preserve">Датовано: «____» ________________ 20___ року </w:t>
      </w:r>
    </w:p>
    <w:p w:rsidR="002011AD" w:rsidRPr="00DC581C" w:rsidRDefault="002011AD" w:rsidP="009523FF">
      <w:pPr>
        <w:spacing w:after="0" w:line="240" w:lineRule="auto"/>
        <w:ind w:left="-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1C">
        <w:rPr>
          <w:rFonts w:ascii="Times New Roman" w:eastAsia="Times New Roman" w:hAnsi="Times New Roman" w:cs="Times New Roman"/>
          <w:iCs/>
          <w:sz w:val="24"/>
          <w:szCs w:val="24"/>
        </w:rPr>
        <w:t>Посада, прізвище, ініціали, підпис уповноваженої особи учасника або П.І.Б. та підпис учасника-фізичної особи.</w:t>
      </w:r>
    </w:p>
    <w:p w:rsidR="002011AD" w:rsidRPr="00555656" w:rsidRDefault="002011AD" w:rsidP="009523FF">
      <w:pPr>
        <w:spacing w:after="0" w:line="240" w:lineRule="auto"/>
        <w:ind w:left="-284" w:hanging="851"/>
        <w:jc w:val="right"/>
        <w:rPr>
          <w:rFonts w:ascii="Times New Roman CYR" w:eastAsia="Times New Roman" w:hAnsi="Times New Roman CYR" w:cs="Times New Roman CYR"/>
          <w:b/>
          <w:sz w:val="23"/>
          <w:szCs w:val="23"/>
          <w:lang w:eastAsia="zh-CN"/>
        </w:rPr>
      </w:pPr>
    </w:p>
    <w:sectPr w:rsidR="002011AD" w:rsidRPr="0055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3B0101"/>
    <w:multiLevelType w:val="multilevel"/>
    <w:tmpl w:val="4DE6D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3DC"/>
    <w:multiLevelType w:val="multilevel"/>
    <w:tmpl w:val="C88C3E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E3971"/>
    <w:multiLevelType w:val="multilevel"/>
    <w:tmpl w:val="E9480A9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3A7"/>
    <w:multiLevelType w:val="multilevel"/>
    <w:tmpl w:val="BC1C390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5D183649"/>
    <w:multiLevelType w:val="hybridMultilevel"/>
    <w:tmpl w:val="A8F8BF12"/>
    <w:lvl w:ilvl="0" w:tplc="135E69C2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 w15:restartNumberingAfterBreak="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5"/>
    <w:rsid w:val="00054F97"/>
    <w:rsid w:val="00091018"/>
    <w:rsid w:val="000E3D8E"/>
    <w:rsid w:val="00103D47"/>
    <w:rsid w:val="0015619E"/>
    <w:rsid w:val="00194F1E"/>
    <w:rsid w:val="001C07DB"/>
    <w:rsid w:val="001E5A4F"/>
    <w:rsid w:val="002011AD"/>
    <w:rsid w:val="00204EE8"/>
    <w:rsid w:val="00266BEA"/>
    <w:rsid w:val="002914B4"/>
    <w:rsid w:val="002A36E0"/>
    <w:rsid w:val="002A39EA"/>
    <w:rsid w:val="002A524A"/>
    <w:rsid w:val="002D105C"/>
    <w:rsid w:val="002E6F7E"/>
    <w:rsid w:val="003819F7"/>
    <w:rsid w:val="003B3932"/>
    <w:rsid w:val="00450FC1"/>
    <w:rsid w:val="00491986"/>
    <w:rsid w:val="0049481E"/>
    <w:rsid w:val="00503CE5"/>
    <w:rsid w:val="0053271D"/>
    <w:rsid w:val="00555656"/>
    <w:rsid w:val="00583E52"/>
    <w:rsid w:val="005D5C18"/>
    <w:rsid w:val="005F5145"/>
    <w:rsid w:val="006054EF"/>
    <w:rsid w:val="0068420E"/>
    <w:rsid w:val="006B5344"/>
    <w:rsid w:val="006F1BD2"/>
    <w:rsid w:val="006F6071"/>
    <w:rsid w:val="007413C4"/>
    <w:rsid w:val="00783C01"/>
    <w:rsid w:val="00785099"/>
    <w:rsid w:val="007B2234"/>
    <w:rsid w:val="007D46FB"/>
    <w:rsid w:val="007E542B"/>
    <w:rsid w:val="0086250C"/>
    <w:rsid w:val="008A127C"/>
    <w:rsid w:val="008C240D"/>
    <w:rsid w:val="009057B6"/>
    <w:rsid w:val="00932E6B"/>
    <w:rsid w:val="00951EE6"/>
    <w:rsid w:val="009523FF"/>
    <w:rsid w:val="0097666F"/>
    <w:rsid w:val="00A722ED"/>
    <w:rsid w:val="00A82502"/>
    <w:rsid w:val="00A97904"/>
    <w:rsid w:val="00AA54E4"/>
    <w:rsid w:val="00AD3DE9"/>
    <w:rsid w:val="00B42F00"/>
    <w:rsid w:val="00B65B61"/>
    <w:rsid w:val="00B65E57"/>
    <w:rsid w:val="00B714C4"/>
    <w:rsid w:val="00B84AB1"/>
    <w:rsid w:val="00BC13F5"/>
    <w:rsid w:val="00C71040"/>
    <w:rsid w:val="00C83E52"/>
    <w:rsid w:val="00C91195"/>
    <w:rsid w:val="00CA4420"/>
    <w:rsid w:val="00CA5367"/>
    <w:rsid w:val="00CB3AED"/>
    <w:rsid w:val="00CB5924"/>
    <w:rsid w:val="00CD29EB"/>
    <w:rsid w:val="00CD3E33"/>
    <w:rsid w:val="00D442F7"/>
    <w:rsid w:val="00D74113"/>
    <w:rsid w:val="00DC581C"/>
    <w:rsid w:val="00DD1036"/>
    <w:rsid w:val="00DF6FB7"/>
    <w:rsid w:val="00E25B79"/>
    <w:rsid w:val="00E313FE"/>
    <w:rsid w:val="00E324B9"/>
    <w:rsid w:val="00E803FD"/>
    <w:rsid w:val="00EA310E"/>
    <w:rsid w:val="00F02F31"/>
    <w:rsid w:val="00FD0990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55F"/>
  <w15:chartTrackingRefBased/>
  <w15:docId w15:val="{388C9999-36E1-4FA0-A61F-2F954A2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145"/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41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3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3C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3C4"/>
    <w:rPr>
      <w:rFonts w:ascii="Calibri" w:eastAsia="Calibri" w:hAnsi="Calibri" w:cs="Calibri"/>
      <w:b/>
      <w:sz w:val="36"/>
      <w:szCs w:val="36"/>
      <w:lang w:val="uk-UA" w:eastAsia="ru-RU"/>
    </w:rPr>
  </w:style>
  <w:style w:type="table" w:styleId="a3">
    <w:name w:val="Table Grid"/>
    <w:basedOn w:val="a1"/>
    <w:uiPriority w:val="39"/>
    <w:rsid w:val="005F514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2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3C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3C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13C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13C4"/>
    <w:rPr>
      <w:rFonts w:ascii="Calibri" w:eastAsia="Calibri" w:hAnsi="Calibri" w:cs="Calibri"/>
      <w:b/>
      <w:sz w:val="20"/>
      <w:szCs w:val="20"/>
      <w:lang w:val="uk-UA" w:eastAsia="ru-RU"/>
    </w:rPr>
  </w:style>
  <w:style w:type="paragraph" w:styleId="a6">
    <w:name w:val="Title"/>
    <w:basedOn w:val="a"/>
    <w:next w:val="a"/>
    <w:link w:val="a7"/>
    <w:uiPriority w:val="10"/>
    <w:qFormat/>
    <w:rsid w:val="007413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7413C4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8">
    <w:name w:val="List Paragraph"/>
    <w:basedOn w:val="a"/>
    <w:uiPriority w:val="34"/>
    <w:qFormat/>
    <w:rsid w:val="007413C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413C4"/>
    <w:rPr>
      <w:color w:val="0563C1" w:themeColor="hyperlink"/>
      <w:u w:val="single"/>
    </w:rPr>
  </w:style>
  <w:style w:type="paragraph" w:styleId="aa">
    <w:name w:val="Normal (Web)"/>
    <w:basedOn w:val="a"/>
    <w:uiPriority w:val="99"/>
    <w:qFormat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7413C4"/>
    <w:rPr>
      <w:rFonts w:cs="Times New Roman"/>
    </w:rPr>
  </w:style>
  <w:style w:type="paragraph" w:customStyle="1" w:styleId="tj">
    <w:name w:val="tj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4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7413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rsid w:val="007413C4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d">
    <w:name w:val="TOC Heading"/>
    <w:basedOn w:val="1"/>
    <w:next w:val="a"/>
    <w:semiHidden/>
    <w:unhideWhenUsed/>
    <w:qFormat/>
    <w:rsid w:val="00D442F7"/>
    <w:pPr>
      <w:suppressAutoHyphens/>
      <w:spacing w:after="0" w:line="276" w:lineRule="auto"/>
    </w:pPr>
    <w:rPr>
      <w:rFonts w:ascii="Cambria" w:eastAsia="Times New Roman" w:hAnsi="Cambria" w:cs="Times New Roman"/>
      <w:bCs/>
      <w:color w:val="365F91"/>
      <w:kern w:val="2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0117-5E7E-478F-8B1E-AF110773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2024-04-15T10:48:00Z</cp:lastPrinted>
  <dcterms:created xsi:type="dcterms:W3CDTF">2023-11-07T10:43:00Z</dcterms:created>
  <dcterms:modified xsi:type="dcterms:W3CDTF">2024-04-26T08:16:00Z</dcterms:modified>
</cp:coreProperties>
</file>