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088DF" w14:textId="3C3A8EF7" w:rsidR="00246D76" w:rsidRDefault="00246D76" w:rsidP="00246D76">
      <w:pPr>
        <w:spacing w:line="240" w:lineRule="auto"/>
        <w:ind w:firstLine="709"/>
        <w:contextualSpacing/>
        <w:rPr>
          <w:rFonts w:ascii="Times New Roman" w:hAnsi="Times New Roman"/>
          <w:b/>
          <w:sz w:val="24"/>
          <w:szCs w:val="24"/>
        </w:rPr>
      </w:pPr>
      <w:r w:rsidRPr="00063536">
        <w:rPr>
          <w:rFonts w:ascii="Times New Roman" w:hAnsi="Times New Roman"/>
          <w:b/>
          <w:sz w:val="24"/>
          <w:szCs w:val="24"/>
        </w:rPr>
        <w:t>ПРОЄКТ</w:t>
      </w:r>
    </w:p>
    <w:p w14:paraId="62BFCD85" w14:textId="77777777" w:rsidR="00246D76" w:rsidRDefault="00246D76">
      <w:pPr>
        <w:spacing w:line="240" w:lineRule="auto"/>
        <w:ind w:firstLine="566"/>
        <w:jc w:val="center"/>
        <w:rPr>
          <w:rFonts w:ascii="Times New Roman" w:eastAsia="Times New Roman" w:hAnsi="Times New Roman" w:cs="Times New Roman"/>
          <w:b/>
          <w:sz w:val="24"/>
          <w:szCs w:val="24"/>
          <w:lang w:val="uk-UA"/>
        </w:rPr>
      </w:pPr>
    </w:p>
    <w:p w14:paraId="733C408E"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69856E3C" w14:textId="77777777" w:rsidR="006A4E54" w:rsidRDefault="006A4E54">
      <w:pPr>
        <w:spacing w:line="240" w:lineRule="auto"/>
        <w:ind w:firstLine="566"/>
        <w:rPr>
          <w:rFonts w:ascii="Times New Roman" w:eastAsia="Times New Roman" w:hAnsi="Times New Roman" w:cs="Times New Roman"/>
          <w:sz w:val="24"/>
          <w:szCs w:val="24"/>
        </w:rPr>
      </w:pPr>
    </w:p>
    <w:p w14:paraId="3EE2EE4E" w14:textId="77777777" w:rsidR="006A4E54" w:rsidRDefault="00F93564" w:rsidP="00F93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Долина </w:t>
      </w:r>
      <w:r w:rsidR="00FD3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              «__» __________ 20</w:t>
      </w:r>
      <w:r w:rsidR="002975F7">
        <w:rPr>
          <w:rFonts w:ascii="Times New Roman" w:eastAsia="Times New Roman" w:hAnsi="Times New Roman" w:cs="Times New Roman"/>
          <w:sz w:val="24"/>
          <w:szCs w:val="24"/>
          <w:lang w:val="uk-UA"/>
        </w:rPr>
        <w:t>2</w:t>
      </w:r>
      <w:r w:rsidR="00FD33C6">
        <w:rPr>
          <w:rFonts w:ascii="Times New Roman" w:eastAsia="Times New Roman" w:hAnsi="Times New Roman" w:cs="Times New Roman"/>
          <w:sz w:val="24"/>
          <w:szCs w:val="24"/>
        </w:rPr>
        <w:t>__ року</w:t>
      </w:r>
    </w:p>
    <w:p w14:paraId="22DCFF81" w14:textId="77777777" w:rsidR="006A4E54" w:rsidRDefault="006A4E54">
      <w:pPr>
        <w:spacing w:line="240" w:lineRule="auto"/>
        <w:ind w:firstLine="566"/>
        <w:rPr>
          <w:rFonts w:ascii="Times New Roman" w:eastAsia="Times New Roman" w:hAnsi="Times New Roman" w:cs="Times New Roman"/>
          <w:sz w:val="24"/>
          <w:szCs w:val="24"/>
        </w:rPr>
      </w:pPr>
    </w:p>
    <w:p w14:paraId="1342B130" w14:textId="0DB2D3DD" w:rsidR="006A4E54" w:rsidRDefault="00CE3BD9" w:rsidP="00AD0B4F">
      <w:pPr>
        <w:spacing w:line="240" w:lineRule="auto"/>
        <w:jc w:val="both"/>
        <w:rPr>
          <w:rFonts w:ascii="Times New Roman" w:eastAsia="Times New Roman" w:hAnsi="Times New Roman" w:cs="Times New Roman"/>
          <w:sz w:val="24"/>
          <w:szCs w:val="24"/>
        </w:rPr>
      </w:pPr>
      <w:proofErr w:type="spellStart"/>
      <w:r w:rsidRPr="004D676B">
        <w:rPr>
          <w:rFonts w:ascii="Times New Roman" w:eastAsia="Times New Roman" w:hAnsi="Times New Roman" w:cs="Times New Roman"/>
          <w:bCs/>
          <w:sz w:val="24"/>
          <w:szCs w:val="21"/>
          <w:lang w:val="uk-UA"/>
        </w:rPr>
        <w:t>Долинський</w:t>
      </w:r>
      <w:proofErr w:type="spellEnd"/>
      <w:r w:rsidRPr="004D676B">
        <w:rPr>
          <w:rFonts w:ascii="Times New Roman" w:eastAsia="Times New Roman" w:hAnsi="Times New Roman" w:cs="Times New Roman"/>
          <w:bCs/>
          <w:sz w:val="24"/>
          <w:szCs w:val="21"/>
          <w:lang w:val="uk-UA"/>
        </w:rPr>
        <w:t xml:space="preserve"> обласний центр соціальної підтримки дітей та сімей «Теплий дім» Івано-Франківської обласної ради, що здійснює діяльність на підставі Положення, в особі в.о. директора </w:t>
      </w:r>
      <w:proofErr w:type="spellStart"/>
      <w:r w:rsidRPr="004D676B">
        <w:rPr>
          <w:rFonts w:ascii="Times New Roman" w:eastAsia="Times New Roman" w:hAnsi="Times New Roman" w:cs="Times New Roman"/>
          <w:bCs/>
          <w:sz w:val="24"/>
          <w:szCs w:val="21"/>
          <w:lang w:val="uk-UA"/>
        </w:rPr>
        <w:t>Куцалаби</w:t>
      </w:r>
      <w:proofErr w:type="spellEnd"/>
      <w:r w:rsidRPr="004D676B">
        <w:rPr>
          <w:rFonts w:ascii="Times New Roman" w:eastAsia="Times New Roman" w:hAnsi="Times New Roman" w:cs="Times New Roman"/>
          <w:bCs/>
          <w:sz w:val="24"/>
          <w:szCs w:val="21"/>
          <w:lang w:val="uk-UA"/>
        </w:rPr>
        <w:t xml:space="preserve"> Наталії Василівни, що діє на підставі Положення</w:t>
      </w:r>
      <w:r w:rsidR="00FD33C6" w:rsidRPr="00F93564">
        <w:rPr>
          <w:rFonts w:ascii="Times New Roman" w:eastAsia="Times New Roman" w:hAnsi="Times New Roman" w:cs="Times New Roman"/>
          <w:sz w:val="24"/>
          <w:szCs w:val="24"/>
        </w:rPr>
        <w:t>, надалі іменується –</w:t>
      </w:r>
      <w:r w:rsidR="00FD33C6">
        <w:rPr>
          <w:rFonts w:ascii="Times New Roman" w:eastAsia="Times New Roman" w:hAnsi="Times New Roman" w:cs="Times New Roman"/>
          <w:sz w:val="24"/>
          <w:szCs w:val="24"/>
        </w:rPr>
        <w:t xml:space="preserve"> Покупець, з однієї сторони, та</w:t>
      </w:r>
      <w:r w:rsidR="00AD0B4F">
        <w:rPr>
          <w:rFonts w:ascii="Times New Roman" w:eastAsia="Times New Roman" w:hAnsi="Times New Roman" w:cs="Times New Roman"/>
          <w:sz w:val="24"/>
          <w:szCs w:val="24"/>
          <w:lang w:val="uk-UA"/>
        </w:rPr>
        <w:t xml:space="preserve"> __________</w:t>
      </w:r>
      <w:r w:rsidR="00FD33C6">
        <w:rPr>
          <w:rFonts w:ascii="Times New Roman" w:eastAsia="Times New Roman" w:hAnsi="Times New Roman" w:cs="Times New Roman"/>
          <w:sz w:val="24"/>
          <w:szCs w:val="24"/>
        </w:rPr>
        <w:t>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00943032" w14:textId="77777777" w:rsidR="00520F9E" w:rsidRDefault="00520F9E">
      <w:pPr>
        <w:spacing w:line="240" w:lineRule="auto"/>
        <w:ind w:firstLine="566"/>
        <w:jc w:val="center"/>
        <w:rPr>
          <w:rFonts w:ascii="Times New Roman" w:eastAsia="Times New Roman" w:hAnsi="Times New Roman" w:cs="Times New Roman"/>
          <w:b/>
          <w:sz w:val="24"/>
          <w:szCs w:val="24"/>
          <w:lang w:val="uk-UA"/>
        </w:rPr>
      </w:pPr>
    </w:p>
    <w:p w14:paraId="500992A7"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A4BFC1E" w14:textId="72678E25" w:rsidR="002B15AD" w:rsidRDefault="00FD33C6">
      <w:pPr>
        <w:spacing w:line="240" w:lineRule="auto"/>
        <w:jc w:val="both"/>
        <w:rPr>
          <w:rFonts w:ascii="Times New Roman" w:hAnsi="Times New Roman" w:cs="Times New Roman"/>
          <w:snapToGrid w:val="0"/>
          <w:sz w:val="24"/>
          <w:szCs w:val="24"/>
          <w:lang w:val="uk-UA"/>
        </w:rPr>
      </w:pPr>
      <w:r w:rsidRPr="00A42BC1">
        <w:rPr>
          <w:rFonts w:ascii="Times New Roman" w:eastAsia="Times New Roman" w:hAnsi="Times New Roman" w:cs="Times New Roman"/>
          <w:sz w:val="24"/>
          <w:szCs w:val="24"/>
        </w:rPr>
        <w:t xml:space="preserve">1.1. </w:t>
      </w:r>
      <w:r w:rsidR="00A42BC1" w:rsidRPr="00A42BC1">
        <w:rPr>
          <w:rFonts w:ascii="Times New Roman" w:eastAsia="Times New Roman" w:hAnsi="Times New Roman" w:cs="Times New Roman"/>
          <w:sz w:val="24"/>
          <w:szCs w:val="24"/>
        </w:rPr>
        <w:t xml:space="preserve">Постачальник </w:t>
      </w:r>
      <w:proofErr w:type="spellStart"/>
      <w:r w:rsidR="00AD0B4F" w:rsidRPr="00A42BC1">
        <w:rPr>
          <w:rFonts w:ascii="Times New Roman" w:hAnsi="Times New Roman" w:cs="Times New Roman"/>
          <w:snapToGrid w:val="0"/>
          <w:sz w:val="24"/>
          <w:szCs w:val="24"/>
        </w:rPr>
        <w:t>переда</w:t>
      </w:r>
      <w:proofErr w:type="spellEnd"/>
      <w:r w:rsidR="00A42BC1">
        <w:rPr>
          <w:rFonts w:ascii="Times New Roman" w:hAnsi="Times New Roman" w:cs="Times New Roman"/>
          <w:snapToGrid w:val="0"/>
          <w:sz w:val="24"/>
          <w:szCs w:val="24"/>
          <w:lang w:val="uk-UA"/>
        </w:rPr>
        <w:t>є</w:t>
      </w:r>
      <w:r w:rsidR="00AD0B4F" w:rsidRPr="00A42BC1">
        <w:rPr>
          <w:rFonts w:ascii="Times New Roman" w:hAnsi="Times New Roman" w:cs="Times New Roman"/>
          <w:snapToGrid w:val="0"/>
          <w:sz w:val="24"/>
          <w:szCs w:val="24"/>
        </w:rPr>
        <w:t xml:space="preserve"> окремими партіями у власність Покупцеві протягом 202</w:t>
      </w:r>
      <w:r w:rsidR="00AD0B4F" w:rsidRPr="00A42BC1">
        <w:rPr>
          <w:rFonts w:ascii="Times New Roman" w:hAnsi="Times New Roman" w:cs="Times New Roman"/>
          <w:snapToGrid w:val="0"/>
          <w:sz w:val="24"/>
          <w:szCs w:val="24"/>
          <w:lang w:val="uk-UA"/>
        </w:rPr>
        <w:t>4</w:t>
      </w:r>
      <w:r w:rsidR="00AD0B4F" w:rsidRPr="00A42BC1">
        <w:rPr>
          <w:rFonts w:ascii="Times New Roman" w:hAnsi="Times New Roman" w:cs="Times New Roman"/>
          <w:snapToGrid w:val="0"/>
          <w:sz w:val="24"/>
          <w:szCs w:val="24"/>
        </w:rPr>
        <w:t xml:space="preserve"> року </w:t>
      </w:r>
      <w:r w:rsidR="00DF02EB" w:rsidRPr="00DF02EB">
        <w:rPr>
          <w:rFonts w:ascii="Times New Roman" w:hAnsi="Times New Roman"/>
          <w:sz w:val="24"/>
          <w:szCs w:val="24"/>
          <w:lang w:eastAsia="ru-RU"/>
        </w:rPr>
        <w:t>Сир твердий, сир кисломолочний</w:t>
      </w:r>
      <w:r w:rsidR="005B74FA">
        <w:rPr>
          <w:rFonts w:ascii="Times New Roman" w:hAnsi="Times New Roman"/>
          <w:sz w:val="24"/>
          <w:szCs w:val="24"/>
          <w:lang w:eastAsia="ru-RU"/>
        </w:rPr>
        <w:t>, код ДК 021:2015-</w:t>
      </w:r>
      <w:r w:rsidR="00DF02EB" w:rsidRPr="00DF02EB">
        <w:rPr>
          <w:rFonts w:ascii="Times New Roman" w:hAnsi="Times New Roman"/>
          <w:sz w:val="24"/>
          <w:szCs w:val="24"/>
          <w:lang w:eastAsia="ru-RU"/>
        </w:rPr>
        <w:t>15540000-5 - Сирні продукти</w:t>
      </w:r>
      <w:r w:rsidR="005B74FA">
        <w:rPr>
          <w:rFonts w:ascii="Times New Roman" w:hAnsi="Times New Roman"/>
          <w:sz w:val="24"/>
          <w:szCs w:val="24"/>
          <w:lang w:eastAsia="ru-RU"/>
        </w:rPr>
        <w:t xml:space="preserve"> (</w:t>
      </w:r>
      <w:r w:rsidR="00DF02EB" w:rsidRPr="00DF02EB">
        <w:rPr>
          <w:rFonts w:ascii="Times New Roman" w:hAnsi="Times New Roman"/>
          <w:sz w:val="24"/>
          <w:szCs w:val="24"/>
          <w:lang w:eastAsia="ru-RU"/>
        </w:rPr>
        <w:t>15544000-3 - Твердий сир</w:t>
      </w:r>
      <w:r w:rsidR="00590E19">
        <w:rPr>
          <w:rFonts w:ascii="Times New Roman" w:hAnsi="Times New Roman"/>
          <w:sz w:val="24"/>
          <w:szCs w:val="24"/>
          <w:lang w:val="uk-UA" w:eastAsia="ru-RU"/>
        </w:rPr>
        <w:t xml:space="preserve">, </w:t>
      </w:r>
      <w:r w:rsidR="00590E19" w:rsidRPr="00590E19">
        <w:rPr>
          <w:rFonts w:ascii="Times New Roman" w:hAnsi="Times New Roman"/>
          <w:sz w:val="24"/>
          <w:szCs w:val="24"/>
          <w:lang w:eastAsia="ru-RU"/>
        </w:rPr>
        <w:t>15542000-9 Свіжий сир</w:t>
      </w:r>
      <w:r w:rsidR="005B74FA">
        <w:rPr>
          <w:rFonts w:ascii="Times New Roman" w:hAnsi="Times New Roman"/>
          <w:sz w:val="24"/>
          <w:szCs w:val="24"/>
          <w:lang w:eastAsia="ru-RU"/>
        </w:rPr>
        <w:t>)</w:t>
      </w:r>
      <w:r w:rsidR="00A42BC1" w:rsidRPr="00A42BC1">
        <w:rPr>
          <w:rFonts w:ascii="Times New Roman" w:hAnsi="Times New Roman" w:cs="Times New Roman"/>
          <w:snapToGrid w:val="0"/>
          <w:sz w:val="24"/>
          <w:szCs w:val="24"/>
          <w:lang w:val="uk-UA"/>
        </w:rPr>
        <w:t xml:space="preserve">, </w:t>
      </w:r>
      <w:r w:rsidR="00AD0B4F" w:rsidRPr="00A42BC1">
        <w:rPr>
          <w:rFonts w:ascii="Times New Roman" w:hAnsi="Times New Roman" w:cs="Times New Roman"/>
          <w:snapToGrid w:val="0"/>
          <w:sz w:val="24"/>
          <w:szCs w:val="24"/>
          <w:lang w:val="uk-UA"/>
        </w:rPr>
        <w:t xml:space="preserve">а Покупець оплачує поставлену продукцію </w:t>
      </w:r>
      <w:r w:rsidR="00AD0B4F" w:rsidRPr="00A42BC1">
        <w:rPr>
          <w:rFonts w:ascii="Times New Roman" w:hAnsi="Times New Roman" w:cs="Times New Roman"/>
          <w:sz w:val="24"/>
          <w:szCs w:val="24"/>
          <w:lang w:val="uk-UA"/>
        </w:rPr>
        <w:t xml:space="preserve">(надалі іменується "товар") </w:t>
      </w:r>
      <w:r w:rsidR="00520F9E">
        <w:rPr>
          <w:rFonts w:ascii="Times New Roman" w:hAnsi="Times New Roman" w:cs="Times New Roman"/>
          <w:snapToGrid w:val="0"/>
          <w:sz w:val="24"/>
          <w:szCs w:val="24"/>
          <w:lang w:val="uk-UA"/>
        </w:rPr>
        <w:t>згідно представлених накладних.</w:t>
      </w:r>
    </w:p>
    <w:p w14:paraId="7013DBF8" w14:textId="77777777" w:rsidR="00520F9E" w:rsidRDefault="00520F9E" w:rsidP="00520F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 Н</w:t>
      </w:r>
      <w:proofErr w:type="spellStart"/>
      <w:r>
        <w:rPr>
          <w:rFonts w:ascii="Times New Roman" w:eastAsia="Times New Roman" w:hAnsi="Times New Roman" w:cs="Times New Roman"/>
          <w:sz w:val="24"/>
          <w:szCs w:val="24"/>
        </w:rPr>
        <w:t>айменування</w:t>
      </w:r>
      <w:proofErr w:type="spellEnd"/>
      <w:r>
        <w:rPr>
          <w:rFonts w:ascii="Times New Roman" w:eastAsia="Times New Roman" w:hAnsi="Times New Roman" w:cs="Times New Roman"/>
          <w:sz w:val="24"/>
          <w:szCs w:val="24"/>
        </w:rPr>
        <w:t>, асортимент, кількість, ціна товару, наведені в Специфікації, що є невід’ємною частиною цього Договору (Додаток № 1), (далі - Специфікація).</w:t>
      </w:r>
    </w:p>
    <w:p w14:paraId="44EAA777" w14:textId="77777777" w:rsidR="006A4E54" w:rsidRPr="00A42BC1" w:rsidRDefault="00FD33C6">
      <w:pPr>
        <w:spacing w:line="240" w:lineRule="auto"/>
        <w:jc w:val="both"/>
        <w:rPr>
          <w:rFonts w:ascii="Times New Roman" w:eastAsia="Times New Roman" w:hAnsi="Times New Roman" w:cs="Times New Roman"/>
          <w:sz w:val="24"/>
          <w:szCs w:val="24"/>
        </w:rPr>
      </w:pPr>
      <w:r w:rsidRPr="00A42BC1">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3</w:t>
      </w:r>
      <w:r w:rsidRPr="00A42BC1">
        <w:rPr>
          <w:rFonts w:ascii="Times New Roman" w:eastAsia="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79274922"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732D9370"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67E13B8" w14:textId="77777777" w:rsidR="00520F9E" w:rsidRDefault="00520F9E">
      <w:pPr>
        <w:spacing w:line="240" w:lineRule="auto"/>
        <w:ind w:firstLine="566"/>
        <w:jc w:val="center"/>
        <w:rPr>
          <w:rFonts w:ascii="Times New Roman" w:eastAsia="Times New Roman" w:hAnsi="Times New Roman" w:cs="Times New Roman"/>
          <w:sz w:val="24"/>
          <w:szCs w:val="24"/>
          <w:lang w:val="uk-UA"/>
        </w:rPr>
      </w:pPr>
    </w:p>
    <w:p w14:paraId="1DC74034"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7FF6D3D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036612" w:rsidRPr="00036612">
        <w:rPr>
          <w:rFonts w:ascii="Times New Roman" w:eastAsia="Times New Roman" w:hAnsi="Times New Roman" w:cs="Times New Roman"/>
          <w:sz w:val="24"/>
          <w:szCs w:val="24"/>
        </w:rPr>
        <w:t xml:space="preserve">Загальна ціна цього Договору становить __________ грн (сума прописом) </w:t>
      </w:r>
      <w:r w:rsidR="00520F9E" w:rsidRPr="00A42BC1">
        <w:rPr>
          <w:rFonts w:ascii="Times New Roman" w:hAnsi="Times New Roman" w:cs="Times New Roman"/>
          <w:snapToGrid w:val="0"/>
          <w:sz w:val="24"/>
          <w:szCs w:val="24"/>
          <w:lang w:val="uk-UA"/>
        </w:rPr>
        <w:t xml:space="preserve">урахуванням </w:t>
      </w:r>
      <w:r w:rsidR="00520F9E" w:rsidRPr="00A42BC1">
        <w:rPr>
          <w:rFonts w:ascii="Times New Roman" w:hAnsi="Times New Roman" w:cs="Times New Roman"/>
          <w:b/>
          <w:snapToGrid w:val="0"/>
          <w:sz w:val="24"/>
          <w:szCs w:val="24"/>
          <w:lang w:val="uk-UA"/>
        </w:rPr>
        <w:t>ПДВ/без ПДВ</w:t>
      </w:r>
      <w:r w:rsidR="00036612" w:rsidRPr="00036612">
        <w:rPr>
          <w:rFonts w:ascii="Times New Roman" w:eastAsia="Times New Roman" w:hAnsi="Times New Roman" w:cs="Times New Roman"/>
          <w:sz w:val="24"/>
          <w:szCs w:val="24"/>
        </w:rPr>
        <w:t>.</w:t>
      </w:r>
    </w:p>
    <w:p w14:paraId="3B2AE8B4"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782E215F"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14:paraId="1CC32D81"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залежно від реального фінансування видатків.</w:t>
      </w:r>
    </w:p>
    <w:p w14:paraId="06B5683C" w14:textId="77777777" w:rsidR="00520F9E" w:rsidRDefault="00520F9E">
      <w:pPr>
        <w:spacing w:line="240" w:lineRule="auto"/>
        <w:ind w:firstLine="566"/>
        <w:jc w:val="center"/>
        <w:rPr>
          <w:rFonts w:ascii="Times New Roman" w:eastAsia="Times New Roman" w:hAnsi="Times New Roman" w:cs="Times New Roman"/>
          <w:b/>
          <w:sz w:val="24"/>
          <w:szCs w:val="24"/>
          <w:lang w:val="uk-UA"/>
        </w:rPr>
      </w:pPr>
    </w:p>
    <w:p w14:paraId="786C8C60"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7752431F"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29E5ED08" w14:textId="77777777" w:rsidR="00354D2E" w:rsidRPr="000E3213" w:rsidRDefault="00FD33C6" w:rsidP="00354D2E">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lastRenderedPageBreak/>
        <w:t xml:space="preserve">3.2. </w:t>
      </w:r>
      <w:r w:rsidR="00354D2E" w:rsidRPr="000E3213">
        <w:rPr>
          <w:rFonts w:ascii="Times New Roman" w:eastAsia="Times New Roman" w:hAnsi="Times New Roman" w:cs="Times New Roman"/>
          <w:sz w:val="24"/>
          <w:szCs w:val="24"/>
        </w:rPr>
        <w:t>Покупець зобов'язується своєчасно оплатити Постачальнику переданий дошкільним закладам</w:t>
      </w:r>
      <w:r w:rsidR="00D60EC0" w:rsidRPr="000E3213">
        <w:rPr>
          <w:rFonts w:ascii="Times New Roman" w:eastAsia="Times New Roman" w:hAnsi="Times New Roman" w:cs="Times New Roman"/>
          <w:sz w:val="24"/>
          <w:szCs w:val="24"/>
          <w:lang w:val="uk-UA"/>
        </w:rPr>
        <w:t xml:space="preserve"> освіти</w:t>
      </w:r>
      <w:r w:rsidR="00354D2E" w:rsidRPr="000E3213">
        <w:rPr>
          <w:rFonts w:ascii="Times New Roman" w:eastAsia="Times New Roman" w:hAnsi="Times New Roman" w:cs="Times New Roman"/>
          <w:sz w:val="24"/>
          <w:szCs w:val="24"/>
        </w:rPr>
        <w:t xml:space="preserve"> товар з моменту представлення належним чином оформлених накладних за таким графіком:</w:t>
      </w:r>
    </w:p>
    <w:p w14:paraId="74C30D9E" w14:textId="77777777" w:rsidR="00354D2E" w:rsidRPr="000E3213" w:rsidRDefault="00354D2E" w:rsidP="00354D2E">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до 1</w:t>
      </w:r>
      <w:r w:rsidR="00D60EC0" w:rsidRPr="000E3213">
        <w:rPr>
          <w:rFonts w:ascii="Times New Roman" w:eastAsia="Times New Roman" w:hAnsi="Times New Roman" w:cs="Times New Roman"/>
          <w:sz w:val="24"/>
          <w:szCs w:val="24"/>
          <w:lang w:val="uk-UA"/>
        </w:rPr>
        <w:t>5</w:t>
      </w:r>
      <w:r w:rsidRPr="000E3213">
        <w:rPr>
          <w:rFonts w:ascii="Times New Roman" w:eastAsia="Times New Roman" w:hAnsi="Times New Roman" w:cs="Times New Roman"/>
          <w:sz w:val="24"/>
          <w:szCs w:val="24"/>
        </w:rPr>
        <w:t xml:space="preserve"> числа наступного місяця за товар, отриманий з 01 по 30 (31) число попереднього місяця.</w:t>
      </w:r>
    </w:p>
    <w:p w14:paraId="79EE4BB3" w14:textId="77777777" w:rsidR="006A4E54" w:rsidRPr="000E3213" w:rsidRDefault="00FD33C6">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Товару, зазначеного Специфікації</w:t>
      </w:r>
      <w:r w:rsidR="000E3213" w:rsidRPr="000E3213">
        <w:rPr>
          <w:rFonts w:ascii="Times New Roman" w:eastAsia="Times New Roman" w:hAnsi="Times New Roman" w:cs="Times New Roman"/>
          <w:sz w:val="24"/>
          <w:szCs w:val="24"/>
          <w:lang w:val="uk-UA"/>
        </w:rPr>
        <w:t>),</w:t>
      </w:r>
      <w:r w:rsidRPr="000E3213">
        <w:rPr>
          <w:rFonts w:ascii="Times New Roman" w:eastAsia="Times New Roman" w:hAnsi="Times New Roman" w:cs="Times New Roman"/>
          <w:sz w:val="24"/>
          <w:szCs w:val="24"/>
        </w:rPr>
        <w:t xml:space="preserve"> оплата здійснюється пропорційно за фактично поставлену кількість Товару. Оплата здійснюється відповідно до ст. 49 Бюджетного кодексу України. </w:t>
      </w:r>
    </w:p>
    <w:p w14:paraId="45DB020C" w14:textId="77777777" w:rsidR="006A4E54" w:rsidRPr="00D60EC0" w:rsidRDefault="00FD33C6">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rPr>
        <w:t xml:space="preserve">3.3. </w:t>
      </w:r>
      <w:r w:rsidR="00D60EC0" w:rsidRPr="000E3213">
        <w:rPr>
          <w:rFonts w:ascii="Times New Roman" w:eastAsia="Times New Roman" w:hAnsi="Times New Roman" w:cs="Times New Roman"/>
          <w:sz w:val="24"/>
          <w:szCs w:val="24"/>
        </w:rPr>
        <w:t>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r w:rsidR="00D60EC0" w:rsidRPr="000E3213">
        <w:rPr>
          <w:rFonts w:ascii="Times New Roman" w:eastAsia="Times New Roman" w:hAnsi="Times New Roman" w:cs="Times New Roman"/>
          <w:sz w:val="24"/>
          <w:szCs w:val="24"/>
          <w:lang w:val="uk-UA"/>
        </w:rPr>
        <w:t>.</w:t>
      </w:r>
    </w:p>
    <w:p w14:paraId="7DEA4F1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0E9F3B0" w14:textId="77777777" w:rsidR="000E3213" w:rsidRDefault="000E3213">
      <w:pPr>
        <w:spacing w:line="240" w:lineRule="auto"/>
        <w:ind w:firstLine="566"/>
        <w:jc w:val="center"/>
        <w:rPr>
          <w:rFonts w:ascii="Times New Roman" w:eastAsia="Times New Roman" w:hAnsi="Times New Roman" w:cs="Times New Roman"/>
          <w:b/>
          <w:sz w:val="24"/>
          <w:szCs w:val="24"/>
          <w:lang w:val="uk-UA"/>
        </w:rPr>
      </w:pPr>
    </w:p>
    <w:p w14:paraId="4A366CFF"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2500461C" w14:textId="77777777" w:rsidR="004C71A3" w:rsidRPr="000E3213" w:rsidRDefault="00FD33C6">
      <w:pPr>
        <w:spacing w:line="240" w:lineRule="auto"/>
        <w:jc w:val="both"/>
        <w:rPr>
          <w:rFonts w:ascii="Times New Roman" w:hAnsi="Times New Roman"/>
          <w:snapToGrid w:val="0"/>
          <w:sz w:val="24"/>
          <w:szCs w:val="24"/>
          <w:lang w:val="uk-UA"/>
        </w:rPr>
      </w:pPr>
      <w:r w:rsidRPr="000E3213">
        <w:rPr>
          <w:rFonts w:ascii="Times New Roman" w:eastAsia="Times New Roman" w:hAnsi="Times New Roman" w:cs="Times New Roman"/>
          <w:sz w:val="24"/>
          <w:szCs w:val="24"/>
        </w:rPr>
        <w:t xml:space="preserve">4.1. </w:t>
      </w:r>
      <w:r w:rsidR="00354D2E" w:rsidRPr="000E3213">
        <w:rPr>
          <w:rFonts w:ascii="Times New Roman" w:hAnsi="Times New Roman"/>
          <w:snapToGrid w:val="0"/>
          <w:sz w:val="24"/>
          <w:szCs w:val="24"/>
        </w:rPr>
        <w:t xml:space="preserve">В порядку та на умовах, визначених цим Договором, Постачальник передає </w:t>
      </w:r>
      <w:r w:rsidR="00D60EC0" w:rsidRPr="000E3213">
        <w:rPr>
          <w:rFonts w:ascii="Times New Roman" w:hAnsi="Times New Roman"/>
          <w:snapToGrid w:val="0"/>
          <w:sz w:val="24"/>
          <w:szCs w:val="24"/>
          <w:lang w:val="uk-UA"/>
        </w:rPr>
        <w:t>Т</w:t>
      </w:r>
      <w:r w:rsidR="00354D2E" w:rsidRPr="000E3213">
        <w:rPr>
          <w:rFonts w:ascii="Times New Roman" w:hAnsi="Times New Roman"/>
          <w:snapToGrid w:val="0"/>
          <w:sz w:val="24"/>
          <w:szCs w:val="24"/>
          <w:lang w:val="uk-UA"/>
        </w:rPr>
        <w:t xml:space="preserve">овар </w:t>
      </w:r>
      <w:r w:rsidR="00354D2E" w:rsidRPr="000E3213">
        <w:rPr>
          <w:rFonts w:ascii="Times New Roman" w:hAnsi="Times New Roman"/>
          <w:snapToGrid w:val="0"/>
          <w:sz w:val="24"/>
          <w:szCs w:val="24"/>
        </w:rPr>
        <w:t>окремими партіями у власність Покупцеві</w:t>
      </w:r>
      <w:r w:rsidR="00354D2E" w:rsidRPr="000E3213">
        <w:rPr>
          <w:rFonts w:ascii="Times New Roman" w:hAnsi="Times New Roman"/>
          <w:snapToGrid w:val="0"/>
          <w:sz w:val="24"/>
          <w:szCs w:val="24"/>
          <w:lang w:val="uk-UA"/>
        </w:rPr>
        <w:t>.</w:t>
      </w:r>
      <w:r w:rsidR="004C71A3" w:rsidRPr="000E3213">
        <w:rPr>
          <w:rFonts w:ascii="Times New Roman" w:hAnsi="Times New Roman"/>
          <w:snapToGrid w:val="0"/>
          <w:sz w:val="24"/>
          <w:szCs w:val="24"/>
          <w:lang w:val="uk-UA"/>
        </w:rPr>
        <w:t xml:space="preserve"> </w:t>
      </w:r>
      <w:r w:rsidR="004C71A3" w:rsidRPr="000E3213">
        <w:rPr>
          <w:rFonts w:ascii="Times New Roman" w:hAnsi="Times New Roman"/>
          <w:sz w:val="24"/>
          <w:szCs w:val="24"/>
          <w:lang w:val="uk-UA" w:eastAsia="ru-RU"/>
        </w:rPr>
        <w:t>П</w:t>
      </w:r>
      <w:proofErr w:type="spellStart"/>
      <w:r w:rsidR="004C71A3" w:rsidRPr="000E3213">
        <w:rPr>
          <w:rFonts w:ascii="Times New Roman" w:hAnsi="Times New Roman"/>
          <w:sz w:val="24"/>
          <w:szCs w:val="24"/>
          <w:lang w:eastAsia="ru-RU"/>
        </w:rPr>
        <w:t>оставки</w:t>
      </w:r>
      <w:proofErr w:type="spellEnd"/>
      <w:r w:rsidR="004C71A3" w:rsidRPr="000E3213">
        <w:rPr>
          <w:rFonts w:ascii="Times New Roman" w:hAnsi="Times New Roman"/>
          <w:sz w:val="24"/>
          <w:szCs w:val="24"/>
          <w:lang w:eastAsia="ru-RU"/>
        </w:rPr>
        <w:t xml:space="preserve"> товару здійснюється згідно заявок Замовника з 8.00 до 17.00 год</w:t>
      </w:r>
      <w:r w:rsidR="004C71A3" w:rsidRPr="000E3213">
        <w:rPr>
          <w:rFonts w:ascii="Times New Roman" w:hAnsi="Times New Roman"/>
          <w:sz w:val="24"/>
          <w:szCs w:val="24"/>
          <w:lang w:val="uk-UA" w:eastAsia="ru-RU"/>
        </w:rPr>
        <w:t>.</w:t>
      </w:r>
    </w:p>
    <w:p w14:paraId="168E60FD" w14:textId="50454E8F" w:rsidR="00354D2E" w:rsidRDefault="00354D2E">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lang w:val="uk-UA"/>
        </w:rPr>
        <w:t xml:space="preserve">Замовлення на поставку відповідної партії </w:t>
      </w:r>
      <w:r w:rsidR="000E3213" w:rsidRPr="000E3213">
        <w:rPr>
          <w:rFonts w:ascii="Times New Roman" w:eastAsia="Times New Roman" w:hAnsi="Times New Roman" w:cs="Times New Roman"/>
          <w:sz w:val="24"/>
          <w:szCs w:val="24"/>
          <w:lang w:val="uk-UA"/>
        </w:rPr>
        <w:t>Товару</w:t>
      </w:r>
      <w:r w:rsidRPr="000E3213">
        <w:rPr>
          <w:rFonts w:ascii="Times New Roman" w:eastAsia="Times New Roman" w:hAnsi="Times New Roman" w:cs="Times New Roman"/>
          <w:sz w:val="24"/>
          <w:szCs w:val="24"/>
          <w:lang w:val="uk-UA"/>
        </w:rPr>
        <w:t xml:space="preserve"> подається </w:t>
      </w:r>
      <w:r w:rsidR="00F25F08">
        <w:rPr>
          <w:rFonts w:ascii="Times New Roman" w:eastAsia="Times New Roman" w:hAnsi="Times New Roman" w:cs="Times New Roman"/>
          <w:sz w:val="24"/>
          <w:szCs w:val="24"/>
          <w:lang w:val="uk-UA"/>
        </w:rPr>
        <w:t>представниками п</w:t>
      </w:r>
      <w:proofErr w:type="spellStart"/>
      <w:r w:rsidR="004C71A3" w:rsidRPr="000E3213">
        <w:rPr>
          <w:rFonts w:ascii="Times New Roman" w:hAnsi="Times New Roman"/>
          <w:sz w:val="24"/>
          <w:szCs w:val="24"/>
          <w:lang w:eastAsia="ru-RU"/>
        </w:rPr>
        <w:t>окупц</w:t>
      </w:r>
      <w:proofErr w:type="spellEnd"/>
      <w:r w:rsidR="00F25F08">
        <w:rPr>
          <w:rFonts w:ascii="Times New Roman" w:hAnsi="Times New Roman"/>
          <w:sz w:val="24"/>
          <w:szCs w:val="24"/>
          <w:lang w:val="uk-UA" w:eastAsia="ru-RU"/>
        </w:rPr>
        <w:t>я</w:t>
      </w:r>
      <w:r w:rsidR="004C71A3" w:rsidRPr="000E3213">
        <w:rPr>
          <w:rFonts w:ascii="Times New Roman" w:eastAsia="Times New Roman" w:hAnsi="Times New Roman" w:cs="Times New Roman"/>
          <w:sz w:val="24"/>
          <w:szCs w:val="24"/>
          <w:lang w:val="uk-UA"/>
        </w:rPr>
        <w:t xml:space="preserve"> </w:t>
      </w:r>
      <w:r w:rsidRPr="000E3213">
        <w:rPr>
          <w:rFonts w:ascii="Times New Roman" w:eastAsia="Times New Roman" w:hAnsi="Times New Roman" w:cs="Times New Roman"/>
          <w:sz w:val="24"/>
          <w:szCs w:val="24"/>
          <w:lang w:val="uk-UA"/>
        </w:rPr>
        <w:t>у письмовій формі власноручно, або передається факсимільним, або поштовим зв’язком (рекомендованим листом), або електронною поштою, або/чи в усній формі (по телефону).</w:t>
      </w:r>
    </w:p>
    <w:p w14:paraId="46F148EA" w14:textId="6260FCB8" w:rsidR="005A7A32" w:rsidRPr="00CE3BD9" w:rsidRDefault="00CC0BEB" w:rsidP="00CE3BD9">
      <w:pPr>
        <w:spacing w:line="240" w:lineRule="auto"/>
        <w:jc w:val="both"/>
        <w:rPr>
          <w:i/>
          <w:sz w:val="24"/>
          <w:szCs w:val="24"/>
          <w:lang w:val="ru-RU"/>
        </w:rPr>
      </w:pPr>
      <w:r>
        <w:rPr>
          <w:rFonts w:ascii="Times New Roman" w:eastAsia="Times New Roman" w:hAnsi="Times New Roman" w:cs="Times New Roman"/>
          <w:sz w:val="24"/>
          <w:szCs w:val="24"/>
        </w:rPr>
        <w:t>4.2. Місце поставки Товару</w:t>
      </w:r>
      <w:r w:rsidRPr="00E10A45">
        <w:rPr>
          <w:rFonts w:ascii="Times New Roman" w:hAnsi="Times New Roman"/>
          <w:snapToGrid w:val="0"/>
          <w:sz w:val="24"/>
          <w:szCs w:val="24"/>
        </w:rPr>
        <w:t>:</w:t>
      </w:r>
      <w:r w:rsidR="00CE3BD9" w:rsidRPr="00CE3BD9">
        <w:rPr>
          <w:rFonts w:ascii="Times New Roman" w:hAnsi="Times New Roman"/>
          <w:sz w:val="24"/>
          <w:szCs w:val="24"/>
          <w:lang w:val="ru-RU" w:eastAsia="ru-RU"/>
        </w:rPr>
        <w:t xml:space="preserve"> </w:t>
      </w:r>
      <w:r w:rsidR="00CE3BD9" w:rsidRPr="004D676B">
        <w:rPr>
          <w:rFonts w:ascii="Times New Roman" w:hAnsi="Times New Roman"/>
          <w:sz w:val="24"/>
          <w:szCs w:val="24"/>
          <w:lang w:val="ru-RU" w:eastAsia="ru-RU"/>
        </w:rPr>
        <w:t xml:space="preserve">склад </w:t>
      </w:r>
      <w:proofErr w:type="spellStart"/>
      <w:r w:rsidR="00CE3BD9" w:rsidRPr="004D676B">
        <w:rPr>
          <w:rFonts w:ascii="Times New Roman" w:hAnsi="Times New Roman"/>
          <w:sz w:val="24"/>
          <w:szCs w:val="24"/>
          <w:lang w:val="ru-RU" w:eastAsia="ru-RU"/>
        </w:rPr>
        <w:t>Покупця</w:t>
      </w:r>
      <w:proofErr w:type="spellEnd"/>
      <w:r w:rsidR="00CE3BD9" w:rsidRPr="004D676B">
        <w:rPr>
          <w:rFonts w:ascii="Times New Roman" w:hAnsi="Times New Roman"/>
          <w:sz w:val="24"/>
          <w:szCs w:val="24"/>
          <w:lang w:val="ru-RU" w:eastAsia="ru-RU"/>
        </w:rPr>
        <w:t xml:space="preserve"> (77500, м. Долина, </w:t>
      </w:r>
      <w:proofErr w:type="spellStart"/>
      <w:r w:rsidR="00CE3BD9" w:rsidRPr="004D676B">
        <w:rPr>
          <w:rFonts w:ascii="Times New Roman" w:hAnsi="Times New Roman"/>
          <w:sz w:val="24"/>
          <w:szCs w:val="24"/>
          <w:lang w:val="ru-RU" w:eastAsia="ru-RU"/>
        </w:rPr>
        <w:t>вул</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Івасюка</w:t>
      </w:r>
      <w:proofErr w:type="spellEnd"/>
      <w:r w:rsidR="00CE3BD9" w:rsidRPr="004D676B">
        <w:rPr>
          <w:rFonts w:ascii="Times New Roman" w:hAnsi="Times New Roman"/>
          <w:sz w:val="24"/>
          <w:szCs w:val="24"/>
          <w:lang w:val="ru-RU" w:eastAsia="ru-RU"/>
        </w:rPr>
        <w:t xml:space="preserve">, буд.16, </w:t>
      </w:r>
      <w:proofErr w:type="spellStart"/>
      <w:r w:rsidR="00CE3BD9" w:rsidRPr="004D676B">
        <w:rPr>
          <w:rFonts w:ascii="Times New Roman" w:hAnsi="Times New Roman"/>
          <w:sz w:val="24"/>
          <w:szCs w:val="24"/>
          <w:lang w:val="ru-RU" w:eastAsia="ru-RU"/>
        </w:rPr>
        <w:t>Долинський</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обласний</w:t>
      </w:r>
      <w:proofErr w:type="spellEnd"/>
      <w:r w:rsidR="00CE3BD9" w:rsidRPr="004D676B">
        <w:rPr>
          <w:rFonts w:ascii="Times New Roman" w:hAnsi="Times New Roman"/>
          <w:sz w:val="24"/>
          <w:szCs w:val="24"/>
          <w:lang w:val="ru-RU" w:eastAsia="ru-RU"/>
        </w:rPr>
        <w:t xml:space="preserve"> центр </w:t>
      </w:r>
      <w:proofErr w:type="spellStart"/>
      <w:proofErr w:type="gramStart"/>
      <w:r w:rsidR="00CE3BD9" w:rsidRPr="004D676B">
        <w:rPr>
          <w:rFonts w:ascii="Times New Roman" w:hAnsi="Times New Roman"/>
          <w:sz w:val="24"/>
          <w:szCs w:val="24"/>
          <w:lang w:val="ru-RU" w:eastAsia="ru-RU"/>
        </w:rPr>
        <w:t>соц</w:t>
      </w:r>
      <w:proofErr w:type="gramEnd"/>
      <w:r w:rsidR="00CE3BD9" w:rsidRPr="004D676B">
        <w:rPr>
          <w:rFonts w:ascii="Times New Roman" w:hAnsi="Times New Roman"/>
          <w:sz w:val="24"/>
          <w:szCs w:val="24"/>
          <w:lang w:val="ru-RU" w:eastAsia="ru-RU"/>
        </w:rPr>
        <w:t>іальної</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підтримки</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дітей</w:t>
      </w:r>
      <w:proofErr w:type="spellEnd"/>
      <w:r w:rsidR="00CE3BD9" w:rsidRPr="004D676B">
        <w:rPr>
          <w:rFonts w:ascii="Times New Roman" w:hAnsi="Times New Roman"/>
          <w:sz w:val="24"/>
          <w:szCs w:val="24"/>
          <w:lang w:val="ru-RU" w:eastAsia="ru-RU"/>
        </w:rPr>
        <w:t xml:space="preserve"> та </w:t>
      </w:r>
      <w:proofErr w:type="spellStart"/>
      <w:r w:rsidR="00CE3BD9" w:rsidRPr="004D676B">
        <w:rPr>
          <w:rFonts w:ascii="Times New Roman" w:hAnsi="Times New Roman"/>
          <w:sz w:val="24"/>
          <w:szCs w:val="24"/>
          <w:lang w:val="ru-RU" w:eastAsia="ru-RU"/>
        </w:rPr>
        <w:t>сімей</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Теплий</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дім</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Івано-Франківської</w:t>
      </w:r>
      <w:proofErr w:type="spellEnd"/>
      <w:r w:rsidR="00CE3BD9" w:rsidRPr="004D676B">
        <w:rPr>
          <w:rFonts w:ascii="Times New Roman" w:hAnsi="Times New Roman"/>
          <w:sz w:val="24"/>
          <w:szCs w:val="24"/>
          <w:lang w:val="ru-RU" w:eastAsia="ru-RU"/>
        </w:rPr>
        <w:t xml:space="preserve"> </w:t>
      </w:r>
      <w:proofErr w:type="spellStart"/>
      <w:r w:rsidR="00CE3BD9" w:rsidRPr="004D676B">
        <w:rPr>
          <w:rFonts w:ascii="Times New Roman" w:hAnsi="Times New Roman"/>
          <w:sz w:val="24"/>
          <w:szCs w:val="24"/>
          <w:lang w:val="ru-RU" w:eastAsia="ru-RU"/>
        </w:rPr>
        <w:t>обласної</w:t>
      </w:r>
      <w:proofErr w:type="spellEnd"/>
      <w:r w:rsidR="00CE3BD9" w:rsidRPr="004D676B">
        <w:rPr>
          <w:rFonts w:ascii="Times New Roman" w:hAnsi="Times New Roman"/>
          <w:sz w:val="24"/>
          <w:szCs w:val="24"/>
          <w:lang w:val="ru-RU" w:eastAsia="ru-RU"/>
        </w:rPr>
        <w:t xml:space="preserve"> ради)</w:t>
      </w:r>
      <w:r w:rsidR="00CE3BD9" w:rsidRPr="00CE3BD9">
        <w:rPr>
          <w:rFonts w:ascii="Times New Roman" w:hAnsi="Times New Roman"/>
          <w:sz w:val="24"/>
          <w:szCs w:val="24"/>
          <w:lang w:val="ru-RU" w:eastAsia="ru-RU"/>
        </w:rPr>
        <w:t>.</w:t>
      </w:r>
    </w:p>
    <w:p w14:paraId="25C2A251"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36D9C3C9" w14:textId="77777777" w:rsidR="006A4E54" w:rsidRDefault="00FD33C6">
      <w:pPr>
        <w:spacing w:line="240" w:lineRule="auto"/>
        <w:jc w:val="both"/>
        <w:rPr>
          <w:rFonts w:ascii="Times New Roman" w:eastAsia="Times New Roman" w:hAnsi="Times New Roman" w:cs="Times New Roman"/>
          <w:sz w:val="24"/>
          <w:szCs w:val="24"/>
        </w:rPr>
      </w:pPr>
      <w:r w:rsidRPr="006A7031">
        <w:rPr>
          <w:rFonts w:ascii="Times New Roman" w:eastAsia="Times New Roman" w:hAnsi="Times New Roman" w:cs="Times New Roman"/>
          <w:sz w:val="24"/>
          <w:szCs w:val="24"/>
        </w:rPr>
        <w:t>4.4. Неналежне оформлення Постачальником документів, зазначених в п. 4.</w:t>
      </w:r>
      <w:r w:rsidR="000E3213" w:rsidRPr="006A7031">
        <w:rPr>
          <w:rFonts w:ascii="Times New Roman" w:eastAsia="Times New Roman" w:hAnsi="Times New Roman" w:cs="Times New Roman"/>
          <w:sz w:val="24"/>
          <w:szCs w:val="24"/>
          <w:lang w:val="uk-UA"/>
        </w:rPr>
        <w:t>7</w:t>
      </w:r>
      <w:r w:rsidRPr="006A7031">
        <w:rPr>
          <w:rFonts w:ascii="Times New Roman" w:eastAsia="Times New Roman" w:hAnsi="Times New Roman" w:cs="Times New Roman"/>
          <w:sz w:val="24"/>
          <w:szCs w:val="24"/>
        </w:rPr>
        <w:t xml:space="preserve"> цього Договору</w:t>
      </w:r>
      <w:r>
        <w:rPr>
          <w:rFonts w:ascii="Times New Roman" w:eastAsia="Times New Roman" w:hAnsi="Times New Roman" w:cs="Times New Roman"/>
          <w:sz w:val="24"/>
          <w:szCs w:val="24"/>
        </w:rPr>
        <w:t xml:space="preserve">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B38BF00"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Постачальник здійснює поставку транспортом, що спеціально облаштований для перевезення Товару, зазначеного у </w:t>
      </w:r>
      <w:r w:rsidR="000E3213">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одатку</w:t>
      </w:r>
      <w:proofErr w:type="spellEnd"/>
      <w:r>
        <w:rPr>
          <w:rFonts w:ascii="Times New Roman" w:eastAsia="Times New Roman" w:hAnsi="Times New Roman" w:cs="Times New Roman"/>
          <w:sz w:val="24"/>
          <w:szCs w:val="24"/>
        </w:rPr>
        <w:t xml:space="preserve"> № 1 до цього Договору, має санітарний паспорт та відповідає іншим вимогам встановлених для перевезення Товару.</w:t>
      </w:r>
    </w:p>
    <w:p w14:paraId="2B0439B2"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5C261B35" w14:textId="574669C5" w:rsidR="0073495C" w:rsidRPr="00594D29"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4.7. </w:t>
      </w:r>
      <w:r w:rsidR="0073495C" w:rsidRPr="0073495C">
        <w:rPr>
          <w:rFonts w:ascii="Times New Roman" w:eastAsia="Times New Roman" w:hAnsi="Times New Roman" w:cs="Times New Roman"/>
          <w:sz w:val="24"/>
          <w:szCs w:val="24"/>
        </w:rPr>
        <w:t xml:space="preserve">Постачальник зобов'язується передавати </w:t>
      </w:r>
      <w:r w:rsidR="00D60EC0">
        <w:rPr>
          <w:rFonts w:ascii="Times New Roman" w:eastAsia="Times New Roman" w:hAnsi="Times New Roman" w:cs="Times New Roman"/>
          <w:sz w:val="24"/>
          <w:szCs w:val="24"/>
          <w:lang w:val="uk-UA"/>
        </w:rPr>
        <w:t>Т</w:t>
      </w:r>
      <w:proofErr w:type="spellStart"/>
      <w:r w:rsidR="0073495C" w:rsidRPr="0073495C">
        <w:rPr>
          <w:rFonts w:ascii="Times New Roman" w:eastAsia="Times New Roman" w:hAnsi="Times New Roman" w:cs="Times New Roman"/>
          <w:sz w:val="24"/>
          <w:szCs w:val="24"/>
        </w:rPr>
        <w:t>овар</w:t>
      </w:r>
      <w:proofErr w:type="spellEnd"/>
      <w:r w:rsidR="0073495C" w:rsidRPr="0073495C">
        <w:rPr>
          <w:rFonts w:ascii="Times New Roman" w:eastAsia="Times New Roman" w:hAnsi="Times New Roman" w:cs="Times New Roman"/>
          <w:sz w:val="24"/>
          <w:szCs w:val="24"/>
        </w:rPr>
        <w:t xml:space="preserve"> разом із усіма товаросупровідними документами та документами, які підтверджують їх якість відповідно до вимог чинного в Україні законодавства, протягом </w:t>
      </w:r>
      <w:r w:rsidR="00594D29">
        <w:rPr>
          <w:rFonts w:ascii="Times New Roman" w:eastAsia="Times New Roman" w:hAnsi="Times New Roman" w:cs="Times New Roman"/>
          <w:sz w:val="24"/>
          <w:szCs w:val="24"/>
          <w:lang w:val="uk-UA"/>
        </w:rPr>
        <w:t>двох</w:t>
      </w:r>
      <w:r w:rsidR="00594D29">
        <w:rPr>
          <w:rFonts w:ascii="Times New Roman" w:eastAsia="Times New Roman" w:hAnsi="Times New Roman" w:cs="Times New Roman"/>
          <w:sz w:val="24"/>
          <w:szCs w:val="24"/>
        </w:rPr>
        <w:t xml:space="preserve"> </w:t>
      </w:r>
      <w:proofErr w:type="spellStart"/>
      <w:r w:rsidR="00594D29">
        <w:rPr>
          <w:rFonts w:ascii="Times New Roman" w:eastAsia="Times New Roman" w:hAnsi="Times New Roman" w:cs="Times New Roman"/>
          <w:sz w:val="24"/>
          <w:szCs w:val="24"/>
        </w:rPr>
        <w:t>дн</w:t>
      </w:r>
      <w:r w:rsidR="00594D29">
        <w:rPr>
          <w:rFonts w:ascii="Times New Roman" w:eastAsia="Times New Roman" w:hAnsi="Times New Roman" w:cs="Times New Roman"/>
          <w:sz w:val="24"/>
          <w:szCs w:val="24"/>
          <w:lang w:val="uk-UA"/>
        </w:rPr>
        <w:t>ів</w:t>
      </w:r>
      <w:proofErr w:type="spellEnd"/>
      <w:r w:rsidR="0073495C" w:rsidRPr="0073495C">
        <w:rPr>
          <w:rFonts w:ascii="Times New Roman" w:eastAsia="Times New Roman" w:hAnsi="Times New Roman" w:cs="Times New Roman"/>
          <w:sz w:val="24"/>
          <w:szCs w:val="24"/>
        </w:rPr>
        <w:t xml:space="preserve"> з моменту отримання заявки на поставку товару</w:t>
      </w:r>
      <w:r w:rsidR="00594D29">
        <w:rPr>
          <w:rFonts w:ascii="Times New Roman" w:eastAsia="Times New Roman" w:hAnsi="Times New Roman" w:cs="Times New Roman"/>
          <w:sz w:val="24"/>
          <w:szCs w:val="24"/>
          <w:lang w:val="uk-UA"/>
        </w:rPr>
        <w:t>.</w:t>
      </w:r>
    </w:p>
    <w:p w14:paraId="3CEEAD46"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E321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2B7A3B49"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w:t>
      </w:r>
      <w:r>
        <w:rPr>
          <w:rFonts w:ascii="Times New Roman" w:eastAsia="Times New Roman" w:hAnsi="Times New Roman" w:cs="Times New Roman"/>
          <w:sz w:val="24"/>
          <w:szCs w:val="24"/>
        </w:rPr>
        <w:lastRenderedPageBreak/>
        <w:t>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0B4125BB"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5D5131FA"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0EF722C2"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39FD2546" w14:textId="77777777" w:rsidR="006A4E5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3F8BBC21" w14:textId="77777777" w:rsidR="00AB04C5" w:rsidRPr="00AB04C5" w:rsidRDefault="00AB04C5">
      <w:pPr>
        <w:spacing w:line="240" w:lineRule="auto"/>
        <w:jc w:val="both"/>
        <w:rPr>
          <w:rFonts w:ascii="Times New Roman" w:eastAsia="Times New Roman" w:hAnsi="Times New Roman" w:cs="Times New Roman"/>
          <w:sz w:val="24"/>
          <w:szCs w:val="24"/>
          <w:lang w:val="uk-UA"/>
        </w:rPr>
      </w:pPr>
    </w:p>
    <w:p w14:paraId="6EBD25B0"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695BB9C3" w14:textId="77777777"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14:paraId="7EF24C2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B04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30612820"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1A4D1C15"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1B3B1DE9" w14:textId="77777777"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Асортимент та комплектність Товару, що поставляється, повинен відповідати умовам Специфікації до цього Договору.</w:t>
      </w:r>
    </w:p>
    <w:p w14:paraId="45F723A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352067E2"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373E203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6567CDE0"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5A520508"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797EB03"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A1F832B"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5.10. Терміни реалізації визначаються підприємством-виробником або підприємством-постачальником. </w:t>
      </w:r>
    </w:p>
    <w:p w14:paraId="65F7E17C" w14:textId="77777777" w:rsidR="00AB04C5" w:rsidRDefault="00AB04C5" w:rsidP="00F93564">
      <w:pPr>
        <w:spacing w:line="240" w:lineRule="auto"/>
        <w:ind w:firstLine="566"/>
        <w:jc w:val="center"/>
        <w:rPr>
          <w:rFonts w:ascii="Times New Roman" w:eastAsia="Times New Roman" w:hAnsi="Times New Roman" w:cs="Times New Roman"/>
          <w:b/>
          <w:sz w:val="24"/>
          <w:szCs w:val="24"/>
          <w:lang w:val="uk-UA"/>
        </w:rPr>
      </w:pPr>
    </w:p>
    <w:p w14:paraId="71923C38" w14:textId="77777777" w:rsidR="006A4E54" w:rsidRDefault="00FD33C6" w:rsidP="00F93564">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121D18F2"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0152C546"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5F66BB3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0329DE78"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8484F39"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09142F4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6667759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2A17DD4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отримувати у Покупця інформацію, необхідну для виконання умов цього Договору; </w:t>
      </w:r>
    </w:p>
    <w:p w14:paraId="7091C7EF"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23B00A6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338C889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31618511"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053AA017"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351C4DB3"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19DDA079"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666210A1"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5B24E60D" w14:textId="77777777" w:rsidR="006A4E54" w:rsidRPr="0013446D"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w:t>
      </w:r>
      <w:r w:rsidR="0013446D">
        <w:rPr>
          <w:rFonts w:ascii="Times New Roman" w:eastAsia="Times New Roman" w:hAnsi="Times New Roman" w:cs="Times New Roman"/>
          <w:sz w:val="24"/>
          <w:szCs w:val="24"/>
        </w:rPr>
        <w:t>шення останнім договірних умов</w:t>
      </w:r>
      <w:r w:rsidR="0013446D">
        <w:rPr>
          <w:rFonts w:ascii="Times New Roman" w:eastAsia="Times New Roman" w:hAnsi="Times New Roman" w:cs="Times New Roman"/>
          <w:sz w:val="24"/>
          <w:szCs w:val="24"/>
          <w:lang w:val="uk-UA"/>
        </w:rPr>
        <w:t>;</w:t>
      </w:r>
    </w:p>
    <w:p w14:paraId="319A5A57"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09887860" w14:textId="77777777" w:rsidR="0013446D" w:rsidRDefault="0013446D">
      <w:pPr>
        <w:spacing w:line="240" w:lineRule="auto"/>
        <w:ind w:firstLine="566"/>
        <w:jc w:val="center"/>
        <w:rPr>
          <w:rFonts w:ascii="Times New Roman" w:eastAsia="Times New Roman" w:hAnsi="Times New Roman" w:cs="Times New Roman"/>
          <w:sz w:val="24"/>
          <w:szCs w:val="24"/>
          <w:lang w:val="uk-UA"/>
        </w:rPr>
      </w:pPr>
    </w:p>
    <w:p w14:paraId="537EBA43"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3FBC8FC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3FE5A827"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w:t>
      </w:r>
      <w:r w:rsidR="00594D2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0 відсотків вартості неякісних Товарів. </w:t>
      </w:r>
    </w:p>
    <w:p w14:paraId="6870C398"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490C9FD8" w14:textId="77777777" w:rsidR="006A4E5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відсотків вартості Товарів, поставку яких прострочено.</w:t>
      </w:r>
    </w:p>
    <w:p w14:paraId="045D0474" w14:textId="77777777" w:rsidR="006A4E54" w:rsidRDefault="001344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8.4. </w:t>
      </w:r>
      <w:r w:rsidR="00FD33C6">
        <w:rPr>
          <w:rFonts w:ascii="Times New Roman" w:eastAsia="Times New Roman" w:hAnsi="Times New Roman" w:cs="Times New Roman"/>
          <w:sz w:val="24"/>
          <w:szCs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808797"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3E7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14:paraId="00DEA791"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3E7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14:paraId="78CF14F4"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3E7D">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3B63C615" w14:textId="77777777" w:rsidR="0013446D" w:rsidRPr="0013446D" w:rsidRDefault="0013446D">
      <w:pPr>
        <w:spacing w:line="240" w:lineRule="auto"/>
        <w:ind w:firstLine="566"/>
        <w:jc w:val="center"/>
        <w:rPr>
          <w:rFonts w:ascii="Times New Roman" w:eastAsia="Times New Roman" w:hAnsi="Times New Roman" w:cs="Times New Roman"/>
          <w:b/>
          <w:sz w:val="24"/>
          <w:szCs w:val="24"/>
        </w:rPr>
      </w:pPr>
    </w:p>
    <w:p w14:paraId="7DB2F927"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14:paraId="560D5217" w14:textId="77777777" w:rsidR="006A4E54" w:rsidRDefault="00FD3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58131F2F" w14:textId="77777777" w:rsidR="006A4E54" w:rsidRDefault="00FD33C6" w:rsidP="0013446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0A03E50" w14:textId="77777777" w:rsidR="0013446D" w:rsidRPr="0013446D" w:rsidRDefault="0013446D" w:rsidP="0013446D">
      <w:pPr>
        <w:spacing w:line="240" w:lineRule="auto"/>
        <w:jc w:val="both"/>
        <w:rPr>
          <w:rFonts w:ascii="Times New Roman" w:eastAsia="Times New Roman" w:hAnsi="Times New Roman" w:cs="Times New Roman"/>
          <w:sz w:val="24"/>
          <w:szCs w:val="24"/>
          <w:lang w:val="uk-UA"/>
        </w:rPr>
      </w:pPr>
    </w:p>
    <w:p w14:paraId="4E838703"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26DF52FC"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AC1553">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14:paraId="607F5FAB"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AC1553">
        <w:rPr>
          <w:rFonts w:ascii="Times New Roman" w:eastAsia="Times New Roman" w:hAnsi="Times New Roman" w:cs="Times New Roman"/>
          <w:sz w:val="24"/>
          <w:szCs w:val="24"/>
        </w:rPr>
        <w:t xml:space="preserve">.2.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14:paraId="1185FFF6"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AC1553">
        <w:rPr>
          <w:rFonts w:ascii="Times New Roman" w:eastAsia="Times New Roman" w:hAnsi="Times New Roman" w:cs="Times New Roman"/>
          <w:sz w:val="24"/>
          <w:szCs w:val="24"/>
        </w:rPr>
        <w:t>.3.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14:paraId="5CB935DD"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AC1553">
        <w:rPr>
          <w:rFonts w:ascii="Times New Roman" w:eastAsia="Times New Roman" w:hAnsi="Times New Roman" w:cs="Times New Roman"/>
          <w:sz w:val="24"/>
          <w:szCs w:val="24"/>
        </w:rPr>
        <w:t xml:space="preserve">.4. 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14:paraId="485453A6"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форс-мажорних обставин (обставин непереборної сили), який повинен містити інформацію про весь період їх дії. </w:t>
      </w:r>
    </w:p>
    <w:p w14:paraId="6619E483"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0A60744C" w14:textId="77777777"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AC1553">
        <w:rPr>
          <w:rFonts w:ascii="Times New Roman" w:eastAsia="Times New Roman" w:hAnsi="Times New Roman" w:cs="Times New Roman"/>
          <w:sz w:val="24"/>
          <w:szCs w:val="24"/>
        </w:rPr>
        <w:t>.5.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15A4101" w14:textId="77777777" w:rsidR="00223E61" w:rsidRPr="002325F0" w:rsidRDefault="00223E61">
      <w:pPr>
        <w:spacing w:line="240" w:lineRule="auto"/>
        <w:rPr>
          <w:rFonts w:ascii="Times New Roman" w:eastAsia="Times New Roman" w:hAnsi="Times New Roman" w:cs="Times New Roman"/>
          <w:sz w:val="24"/>
          <w:szCs w:val="24"/>
        </w:rPr>
      </w:pPr>
    </w:p>
    <w:p w14:paraId="6E7CA272" w14:textId="77777777" w:rsidR="00223E61" w:rsidRPr="00223E61" w:rsidRDefault="002325F0" w:rsidP="00223E61">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r w:rsidR="00223E61" w:rsidRPr="00223E61">
        <w:rPr>
          <w:rFonts w:ascii="Times New Roman" w:eastAsia="Times New Roman" w:hAnsi="Times New Roman" w:cs="Times New Roman"/>
          <w:b/>
          <w:sz w:val="24"/>
          <w:szCs w:val="24"/>
          <w:lang w:val="uk-UA"/>
        </w:rPr>
        <w:t>. АНТИКОРУПЦІЙН</w:t>
      </w:r>
      <w:r w:rsidR="00223E61">
        <w:rPr>
          <w:rFonts w:ascii="Times New Roman" w:eastAsia="Times New Roman" w:hAnsi="Times New Roman" w:cs="Times New Roman"/>
          <w:b/>
          <w:sz w:val="24"/>
          <w:szCs w:val="24"/>
          <w:lang w:val="uk-UA"/>
        </w:rPr>
        <w:t>І</w:t>
      </w:r>
      <w:r w:rsidR="00223E61" w:rsidRPr="00223E61">
        <w:rPr>
          <w:rFonts w:ascii="Times New Roman" w:eastAsia="Times New Roman" w:hAnsi="Times New Roman" w:cs="Times New Roman"/>
          <w:b/>
          <w:sz w:val="24"/>
          <w:szCs w:val="24"/>
          <w:lang w:val="uk-UA"/>
        </w:rPr>
        <w:t xml:space="preserve"> ЗАСТЕРЕЖЕННЯ</w:t>
      </w:r>
    </w:p>
    <w:p w14:paraId="3E70DC83"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sidRPr="002325F0">
        <w:rPr>
          <w:rFonts w:ascii="Times New Roman" w:eastAsia="Times New Roman" w:hAnsi="Times New Roman" w:cs="Times New Roman"/>
          <w:sz w:val="24"/>
          <w:szCs w:val="24"/>
          <w:lang w:val="uk-UA"/>
        </w:rPr>
        <w:t>11</w:t>
      </w:r>
      <w:r w:rsidR="00223E61" w:rsidRPr="002325F0">
        <w:rPr>
          <w:rFonts w:ascii="Times New Roman" w:eastAsia="Times New Roman" w:hAnsi="Times New Roman" w:cs="Times New Roman"/>
          <w:sz w:val="24"/>
          <w:szCs w:val="24"/>
          <w:lang w:val="uk-UA"/>
        </w:rPr>
        <w:t>.1 Сторони даного Договору зобов’язується дотримуватися і забезпечити дотримання вимог</w:t>
      </w:r>
      <w:r w:rsidR="00223E61" w:rsidRPr="00223E61">
        <w:rPr>
          <w:rFonts w:ascii="Times New Roman" w:eastAsia="Times New Roman" w:hAnsi="Times New Roman" w:cs="Times New Roman"/>
          <w:sz w:val="24"/>
          <w:szCs w:val="24"/>
          <w:lang w:val="uk-UA"/>
        </w:rPr>
        <w:t xml:space="preserve">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AC8530D"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226DBCF"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r w:rsidR="00223E61" w:rsidRPr="00223E61">
        <w:rPr>
          <w:rFonts w:ascii="Times New Roman" w:eastAsia="Times New Roman" w:hAnsi="Times New Roman" w:cs="Times New Roman"/>
          <w:sz w:val="24"/>
          <w:szCs w:val="24"/>
          <w:lang w:val="uk-UA"/>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7CB75FB"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379F99A"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79692D22"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2F5674A"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14:paraId="2B885820" w14:textId="77777777"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28A9A017" w14:textId="77777777" w:rsid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23E61" w:rsidRPr="00223E61">
        <w:rPr>
          <w:rFonts w:ascii="Times New Roman" w:eastAsia="Times New Roman" w:hAnsi="Times New Roman" w:cs="Times New Roman"/>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E6F4B61" w14:textId="77777777" w:rsidR="002325F0" w:rsidRPr="00223E61" w:rsidRDefault="002325F0" w:rsidP="00223E61">
      <w:pPr>
        <w:spacing w:line="240" w:lineRule="auto"/>
        <w:jc w:val="both"/>
        <w:rPr>
          <w:rFonts w:ascii="Times New Roman" w:eastAsia="Times New Roman" w:hAnsi="Times New Roman" w:cs="Times New Roman"/>
          <w:sz w:val="24"/>
          <w:szCs w:val="24"/>
          <w:lang w:val="uk-UA"/>
        </w:rPr>
      </w:pPr>
    </w:p>
    <w:p w14:paraId="5EAB847B" w14:textId="77777777" w:rsidR="006A4E54" w:rsidRDefault="00FD33C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325F0">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rPr>
        <w:t>. ДІЯ ДОГОВОРУ</w:t>
      </w:r>
    </w:p>
    <w:p w14:paraId="75063E05" w14:textId="77777777" w:rsidR="00C44E9B" w:rsidRPr="002325F0"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Сторін, </w:t>
      </w:r>
      <w:r w:rsidRPr="002325F0">
        <w:rPr>
          <w:rFonts w:ascii="Times New Roman" w:eastAsia="Times New Roman" w:hAnsi="Times New Roman" w:cs="Times New Roman"/>
          <w:sz w:val="24"/>
          <w:szCs w:val="24"/>
        </w:rPr>
        <w:t xml:space="preserve">скріплення печатками Сторін (за наявності) та діє до </w:t>
      </w:r>
      <w:r w:rsidR="00C44E9B" w:rsidRPr="002325F0">
        <w:rPr>
          <w:rFonts w:ascii="Times New Roman" w:eastAsia="Times New Roman" w:hAnsi="Times New Roman" w:cs="Times New Roman"/>
          <w:sz w:val="24"/>
          <w:szCs w:val="24"/>
          <w:lang w:val="uk-UA"/>
        </w:rPr>
        <w:t>31.12.202</w:t>
      </w:r>
      <w:r w:rsidR="00576081" w:rsidRPr="002325F0">
        <w:rPr>
          <w:rFonts w:ascii="Times New Roman" w:eastAsia="Times New Roman" w:hAnsi="Times New Roman" w:cs="Times New Roman"/>
          <w:sz w:val="24"/>
          <w:szCs w:val="24"/>
          <w:lang w:val="uk-UA"/>
        </w:rPr>
        <w:t>4</w:t>
      </w:r>
      <w:r w:rsidR="00C44E9B" w:rsidRPr="002325F0">
        <w:rPr>
          <w:rFonts w:ascii="Times New Roman" w:eastAsia="Times New Roman" w:hAnsi="Times New Roman" w:cs="Times New Roman"/>
          <w:sz w:val="24"/>
          <w:szCs w:val="24"/>
          <w:lang w:val="uk-UA"/>
        </w:rPr>
        <w:t xml:space="preserve"> року включно</w:t>
      </w:r>
      <w:r w:rsidRPr="002325F0">
        <w:rPr>
          <w:rFonts w:ascii="Times New Roman" w:eastAsia="Times New Roman" w:hAnsi="Times New Roman" w:cs="Times New Roman"/>
          <w:sz w:val="24"/>
          <w:szCs w:val="24"/>
        </w:rPr>
        <w:t>.</w:t>
      </w:r>
    </w:p>
    <w:p w14:paraId="0B862FC5"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5E3460C" w14:textId="1B6886F7" w:rsidR="00C44E9B" w:rsidRDefault="00FD33C6">
      <w:pPr>
        <w:spacing w:line="240" w:lineRule="auto"/>
        <w:jc w:val="both"/>
        <w:rPr>
          <w:rFonts w:ascii="Times New Roman" w:hAnsi="Times New Roman"/>
          <w:color w:val="000000"/>
          <w:sz w:val="24"/>
          <w:szCs w:val="24"/>
          <w:lang w:val="uk-UA"/>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.1.1. </w:t>
      </w:r>
      <w:r w:rsidR="00C44E9B" w:rsidRPr="00E10A45">
        <w:rPr>
          <w:rFonts w:ascii="Times New Roman" w:hAnsi="Times New Roman"/>
          <w:color w:val="000000"/>
          <w:sz w:val="24"/>
          <w:szCs w:val="24"/>
        </w:rPr>
        <w:t>Строк дії цього Договору в частині постачання товару починає свій перебіг з дати укладення Договору</w:t>
      </w:r>
      <w:r w:rsidR="00CE3BD9" w:rsidRPr="00CE3BD9">
        <w:rPr>
          <w:rFonts w:ascii="Times New Roman" w:hAnsi="Times New Roman"/>
          <w:color w:val="000000"/>
          <w:sz w:val="24"/>
          <w:szCs w:val="24"/>
          <w:lang w:val="ru-RU"/>
        </w:rPr>
        <w:t xml:space="preserve"> </w:t>
      </w:r>
      <w:r w:rsidR="00C44E9B" w:rsidRPr="00E10A45">
        <w:rPr>
          <w:rFonts w:ascii="Times New Roman" w:hAnsi="Times New Roman"/>
          <w:color w:val="000000"/>
          <w:sz w:val="24"/>
          <w:szCs w:val="24"/>
        </w:rPr>
        <w:t>та закінчується 31 грудня 202</w:t>
      </w:r>
      <w:r w:rsidR="00576081">
        <w:rPr>
          <w:rFonts w:ascii="Times New Roman" w:hAnsi="Times New Roman"/>
          <w:color w:val="000000"/>
          <w:sz w:val="24"/>
          <w:szCs w:val="24"/>
          <w:lang w:val="uk-UA"/>
        </w:rPr>
        <w:t>4</w:t>
      </w:r>
      <w:r w:rsidR="00C44E9B" w:rsidRPr="00E10A45">
        <w:rPr>
          <w:rFonts w:ascii="Times New Roman" w:hAnsi="Times New Roman"/>
          <w:color w:val="000000"/>
          <w:sz w:val="24"/>
          <w:szCs w:val="24"/>
        </w:rPr>
        <w:t xml:space="preserve"> року, </w:t>
      </w:r>
      <w:r w:rsidR="00DD3E3D" w:rsidRPr="00DD3E3D">
        <w:rPr>
          <w:rFonts w:ascii="Times New Roman" w:hAnsi="Times New Roman"/>
          <w:color w:val="000000"/>
          <w:sz w:val="24"/>
          <w:szCs w:val="24"/>
        </w:rPr>
        <w:t>а в частині оплати за поставлений товар – до повного виконання сторонами узятих на себе зобов’язань</w:t>
      </w:r>
      <w:r w:rsidR="00C44E9B" w:rsidRPr="00E10A45">
        <w:rPr>
          <w:rFonts w:ascii="Times New Roman" w:hAnsi="Times New Roman"/>
          <w:color w:val="000000"/>
          <w:sz w:val="24"/>
          <w:szCs w:val="24"/>
        </w:rPr>
        <w:t>.</w:t>
      </w:r>
    </w:p>
    <w:p w14:paraId="6B031E03"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71A34941"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14:paraId="203E3FA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14:paraId="0F1D631C"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14:paraId="756FD06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відсутності фінансування.</w:t>
      </w:r>
    </w:p>
    <w:p w14:paraId="5D9C130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4793ED1B"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14:paraId="10FC09AA" w14:textId="77777777" w:rsidR="002325F0" w:rsidRDefault="002325F0">
      <w:pPr>
        <w:spacing w:line="240" w:lineRule="auto"/>
        <w:ind w:firstLine="566"/>
        <w:jc w:val="center"/>
        <w:rPr>
          <w:rFonts w:ascii="Times New Roman" w:eastAsia="Times New Roman" w:hAnsi="Times New Roman" w:cs="Times New Roman"/>
          <w:b/>
          <w:sz w:val="24"/>
          <w:szCs w:val="24"/>
          <w:lang w:val="uk-UA"/>
        </w:rPr>
      </w:pPr>
    </w:p>
    <w:p w14:paraId="300B84F8"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325F0">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ПРИКІНЦЕВІ ПОЛОЖЕННЯ</w:t>
      </w:r>
    </w:p>
    <w:p w14:paraId="44F8D923" w14:textId="77777777" w:rsidR="006A4E54" w:rsidRPr="00C12646"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Зміна умов цього Договору може здійснюватися шляхом підписання додаткової угоди на умовах та в порядку передб</w:t>
      </w:r>
      <w:r w:rsidR="00C12646">
        <w:rPr>
          <w:rFonts w:ascii="Times New Roman" w:eastAsia="Times New Roman" w:hAnsi="Times New Roman" w:cs="Times New Roman"/>
          <w:sz w:val="24"/>
          <w:szCs w:val="24"/>
        </w:rPr>
        <w:t>аченому чинним законодавством</w:t>
      </w:r>
      <w:r w:rsidR="00C12646">
        <w:rPr>
          <w:rFonts w:ascii="Times New Roman" w:eastAsia="Times New Roman" w:hAnsi="Times New Roman" w:cs="Times New Roman"/>
          <w:sz w:val="24"/>
          <w:szCs w:val="24"/>
          <w:lang w:val="uk-UA"/>
        </w:rPr>
        <w:t xml:space="preserve"> та цим Договором</w:t>
      </w:r>
      <w:r w:rsidR="00C12646">
        <w:rPr>
          <w:rFonts w:ascii="Times New Roman" w:eastAsia="Times New Roman" w:hAnsi="Times New Roman" w:cs="Times New Roman"/>
          <w:sz w:val="24"/>
          <w:szCs w:val="24"/>
        </w:rPr>
        <w:t>.</w:t>
      </w:r>
    </w:p>
    <w:p w14:paraId="19AEF2A7"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.2. </w:t>
      </w:r>
      <w:r w:rsidR="009E54F7" w:rsidRPr="009E54F7">
        <w:rPr>
          <w:rFonts w:ascii="Times New Roman" w:eastAsia="Times New Roman" w:hAnsi="Times New Roman" w:cs="Times New Roman"/>
          <w:sz w:val="24"/>
          <w:szCs w:val="24"/>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w:t>
      </w:r>
      <w:r>
        <w:rPr>
          <w:rFonts w:ascii="Times New Roman" w:eastAsia="Times New Roman" w:hAnsi="Times New Roman" w:cs="Times New Roman"/>
          <w:sz w:val="24"/>
          <w:szCs w:val="24"/>
        </w:rPr>
        <w:t xml:space="preserve">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679FA976"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733507EE"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47E1D29"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14:paraId="053196B9"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w:t>
      </w:r>
      <w:r w:rsidR="009E54F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A6FEF1A" w14:textId="77777777" w:rsidR="006A4E54" w:rsidRDefault="00FD33C6" w:rsidP="00576081">
      <w:pPr>
        <w:spacing w:line="240" w:lineRule="auto"/>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sidR="002325F0">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w:t>
      </w:r>
      <w:r w:rsidR="009E54F7">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1334A59E"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1) зменшення обсягів закупівлі, зокрема з урахуванням фактичного обсягу видатків замовника;</w:t>
      </w:r>
    </w:p>
    <w:p w14:paraId="65C26AD3"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8904FB"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990F358"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D443A0">
        <w:rPr>
          <w:rFonts w:ascii="Times New Roman" w:eastAsia="Times New Roman" w:hAnsi="Times New Roman" w:cs="Times New Roman"/>
          <w:color w:val="222222"/>
          <w:sz w:val="24"/>
          <w:szCs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D428A5"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E282C31"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341D01" w14:textId="77777777"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3A0">
        <w:rPr>
          <w:rFonts w:ascii="Times New Roman" w:eastAsia="Times New Roman" w:hAnsi="Times New Roman" w:cs="Times New Roman"/>
          <w:color w:val="222222"/>
          <w:sz w:val="24"/>
          <w:szCs w:val="24"/>
          <w:lang w:val="uk-UA"/>
        </w:rPr>
        <w:t>Platts</w:t>
      </w:r>
      <w:proofErr w:type="spellEnd"/>
      <w:r w:rsidRPr="00D443A0">
        <w:rPr>
          <w:rFonts w:ascii="Times New Roman" w:eastAsia="Times New Roman" w:hAnsi="Times New Roman" w:cs="Times New Roman"/>
          <w:color w:val="222222"/>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499AF6" w14:textId="77777777" w:rsid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8) зміни умов у зв’язку із застосуванням положень частини шостої ст</w:t>
      </w:r>
      <w:r w:rsidR="00F02CF9">
        <w:rPr>
          <w:rFonts w:ascii="Times New Roman" w:eastAsia="Times New Roman" w:hAnsi="Times New Roman" w:cs="Times New Roman"/>
          <w:color w:val="222222"/>
          <w:sz w:val="24"/>
          <w:szCs w:val="24"/>
          <w:lang w:val="uk-UA"/>
        </w:rPr>
        <w:t>атті 41 Закону;</w:t>
      </w:r>
    </w:p>
    <w:p w14:paraId="2ACAA2EA" w14:textId="77777777" w:rsidR="00F02CF9" w:rsidRPr="00D443A0" w:rsidRDefault="00F02CF9" w:rsidP="00D443A0">
      <w:pPr>
        <w:spacing w:line="240" w:lineRule="auto"/>
        <w:ind w:firstLine="566"/>
        <w:jc w:val="both"/>
        <w:rPr>
          <w:rFonts w:ascii="Times New Roman" w:eastAsia="Times New Roman" w:hAnsi="Times New Roman" w:cs="Times New Roman"/>
          <w:color w:val="222222"/>
          <w:sz w:val="24"/>
          <w:szCs w:val="24"/>
          <w:lang w:val="uk-UA"/>
        </w:rPr>
      </w:pPr>
      <w:r w:rsidRPr="00F02CF9">
        <w:rPr>
          <w:rFonts w:ascii="Times New Roman" w:eastAsia="Times New Roman" w:hAnsi="Times New Roman" w:cs="Times New Roman"/>
          <w:color w:val="222222"/>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AD8B2CA" w14:textId="77777777" w:rsidR="0082113B" w:rsidRPr="00D57B35" w:rsidRDefault="0082113B" w:rsidP="00286E4A">
      <w:pPr>
        <w:spacing w:line="240" w:lineRule="auto"/>
        <w:jc w:val="both"/>
        <w:textAlignment w:val="baseline"/>
        <w:rPr>
          <w:rFonts w:ascii="Times New Roman" w:hAnsi="Times New Roman"/>
          <w:sz w:val="24"/>
          <w:szCs w:val="24"/>
        </w:rPr>
      </w:pPr>
      <w:r>
        <w:rPr>
          <w:rFonts w:ascii="Times New Roman" w:hAnsi="Times New Roman"/>
          <w:sz w:val="24"/>
          <w:szCs w:val="24"/>
          <w:lang w:val="uk-UA"/>
        </w:rPr>
        <w:t>1</w:t>
      </w:r>
      <w:r w:rsidR="002325F0">
        <w:rPr>
          <w:rFonts w:ascii="Times New Roman" w:hAnsi="Times New Roman"/>
          <w:sz w:val="24"/>
          <w:szCs w:val="24"/>
          <w:lang w:val="uk-UA"/>
        </w:rPr>
        <w:t>3</w:t>
      </w:r>
      <w:r w:rsidRPr="00E10A45">
        <w:rPr>
          <w:rFonts w:ascii="Times New Roman" w:hAnsi="Times New Roman"/>
          <w:sz w:val="24"/>
          <w:szCs w:val="24"/>
        </w:rPr>
        <w:t>.</w:t>
      </w:r>
      <w:r w:rsidR="009E54F7">
        <w:rPr>
          <w:rFonts w:ascii="Times New Roman" w:hAnsi="Times New Roman"/>
          <w:sz w:val="24"/>
          <w:szCs w:val="24"/>
          <w:lang w:val="uk-UA"/>
        </w:rPr>
        <w:t>8</w:t>
      </w:r>
      <w:r w:rsidRPr="00E10A45">
        <w:rPr>
          <w:rFonts w:ascii="Times New Roman" w:hAnsi="Times New Roman"/>
          <w:sz w:val="24"/>
          <w:szCs w:val="24"/>
        </w:rPr>
        <w:t xml:space="preserve">. </w:t>
      </w:r>
      <w:r w:rsidRPr="00D57B35">
        <w:rPr>
          <w:rFonts w:ascii="Times New Roman" w:hAnsi="Times New Roman"/>
          <w:sz w:val="24"/>
          <w:szCs w:val="24"/>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D57B35">
        <w:rPr>
          <w:rFonts w:ascii="Times New Roman" w:hAnsi="Times New Roman"/>
          <w:sz w:val="24"/>
          <w:szCs w:val="24"/>
        </w:rPr>
        <w:t>обгрунтована</w:t>
      </w:r>
      <w:proofErr w:type="spellEnd"/>
      <w:r w:rsidRPr="00D57B35">
        <w:rPr>
          <w:rFonts w:ascii="Times New Roman" w:hAnsi="Times New Roman"/>
          <w:sz w:val="24"/>
          <w:szCs w:val="24"/>
        </w:rPr>
        <w:t xml:space="preserve">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w:t>
      </w:r>
      <w:r w:rsidRPr="009E54F7">
        <w:rPr>
          <w:rFonts w:ascii="Times New Roman" w:hAnsi="Times New Roman"/>
          <w:sz w:val="24"/>
          <w:szCs w:val="24"/>
        </w:rPr>
        <w:t>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укладання договору або станом 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внесення змін до договору в частині ціни за одиницю, якщо такі зміни до договору вже були раніше здійснені сторонами та </w:t>
      </w:r>
      <w:proofErr w:type="spellStart"/>
      <w:r w:rsidRPr="009E54F7">
        <w:rPr>
          <w:rFonts w:ascii="Times New Roman" w:hAnsi="Times New Roman"/>
          <w:sz w:val="24"/>
          <w:szCs w:val="24"/>
        </w:rPr>
        <w:t>середньоринкової</w:t>
      </w:r>
      <w:proofErr w:type="spellEnd"/>
      <w:r w:rsidRPr="009E54F7">
        <w:rPr>
          <w:rFonts w:ascii="Times New Roman" w:hAnsi="Times New Roman"/>
          <w:sz w:val="24"/>
          <w:szCs w:val="24"/>
        </w:rPr>
        <w:t xml:space="preserve"> ціни за одиницю товару </w:t>
      </w:r>
      <w:r w:rsidR="00593F88" w:rsidRPr="009E54F7">
        <w:rPr>
          <w:rFonts w:ascii="Times New Roman" w:hAnsi="Times New Roman"/>
          <w:sz w:val="24"/>
          <w:szCs w:val="24"/>
          <w:lang w:val="uk-UA"/>
        </w:rPr>
        <w:t xml:space="preserve">в місяці, який передує місяцю </w:t>
      </w:r>
      <w:r w:rsidRPr="009E54F7">
        <w:rPr>
          <w:rFonts w:ascii="Times New Roman" w:hAnsi="Times New Roman"/>
          <w:sz w:val="24"/>
          <w:szCs w:val="24"/>
        </w:rPr>
        <w:t xml:space="preserve">письмового звернення учасника щодо збільшення ціни і повинен бути наданий у формі </w:t>
      </w:r>
      <w:r w:rsidRPr="00D57B35">
        <w:rPr>
          <w:rFonts w:ascii="Times New Roman" w:hAnsi="Times New Roman"/>
          <w:sz w:val="24"/>
          <w:szCs w:val="24"/>
        </w:rPr>
        <w:t>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максимальний розмір (відсоток), на який Сторонами може бути здійснено підвищення ціни за одиницю товару визначається за формулою:</w:t>
      </w:r>
    </w:p>
    <w:p w14:paraId="264FC9AC" w14:textId="77777777"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w:t>
      </w:r>
      <m:oMath>
        <m:f>
          <m:fPr>
            <m:ctrlPr>
              <w:rPr>
                <w:rFonts w:ascii="Cambria Math" w:hAnsi="Cambria Math"/>
                <w:i/>
                <w:sz w:val="24"/>
                <w:szCs w:val="24"/>
              </w:rPr>
            </m:ctrlPr>
          </m:fPr>
          <m:num>
            <m:r>
              <w:rPr>
                <w:rFonts w:ascii="Cambria Math" w:hAnsi="Cambria Math"/>
                <w:sz w:val="24"/>
                <w:szCs w:val="24"/>
              </w:rPr>
              <m:t>Ц2</m:t>
            </m:r>
          </m:num>
          <m:den>
            <m:r>
              <w:rPr>
                <w:rFonts w:ascii="Cambria Math" w:hAnsi="Cambria Math"/>
                <w:sz w:val="24"/>
                <w:szCs w:val="24"/>
              </w:rPr>
              <m:t>Ц1</m:t>
            </m:r>
          </m:den>
        </m:f>
        <m:r>
          <w:rPr>
            <w:rFonts w:ascii="Cambria Math" w:hAnsi="Cambria Math"/>
            <w:sz w:val="24"/>
            <w:szCs w:val="24"/>
          </w:rPr>
          <m:t>*100-100</m:t>
        </m:r>
      </m:oMath>
      <w:r w:rsidRPr="00D57B35">
        <w:rPr>
          <w:rFonts w:ascii="Times New Roman" w:hAnsi="Times New Roman"/>
          <w:sz w:val="24"/>
          <w:szCs w:val="24"/>
        </w:rPr>
        <w:t>, де</w:t>
      </w:r>
    </w:p>
    <w:p w14:paraId="5DF8A09A" w14:textId="77777777"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 - відсоток збільшення ціни</w:t>
      </w:r>
    </w:p>
    <w:p w14:paraId="26361AF9" w14:textId="77777777"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 xml:space="preserve">Ц1- </w:t>
      </w:r>
      <w:proofErr w:type="spellStart"/>
      <w:r w:rsidRPr="00D57B35">
        <w:rPr>
          <w:rFonts w:ascii="Times New Roman" w:hAnsi="Times New Roman"/>
          <w:sz w:val="24"/>
          <w:szCs w:val="24"/>
        </w:rPr>
        <w:t>середньоринкова</w:t>
      </w:r>
      <w:proofErr w:type="spellEnd"/>
      <w:r w:rsidRPr="00D57B35">
        <w:rPr>
          <w:rFonts w:ascii="Times New Roman" w:hAnsi="Times New Roman"/>
          <w:sz w:val="24"/>
          <w:szCs w:val="24"/>
        </w:rPr>
        <w:t xml:space="preserve"> ціна за одиницю товару на </w:t>
      </w:r>
      <w:r>
        <w:rPr>
          <w:rFonts w:ascii="Times New Roman" w:hAnsi="Times New Roman"/>
          <w:sz w:val="24"/>
          <w:szCs w:val="24"/>
        </w:rPr>
        <w:t>момент</w:t>
      </w:r>
      <w:r w:rsidRPr="00D57B35">
        <w:rPr>
          <w:rFonts w:ascii="Times New Roman" w:hAnsi="Times New Roman"/>
          <w:sz w:val="24"/>
          <w:szCs w:val="24"/>
        </w:rPr>
        <w:t xml:space="preserve"> </w:t>
      </w:r>
      <w:r w:rsidR="003B529C">
        <w:rPr>
          <w:rFonts w:ascii="Times New Roman" w:hAnsi="Times New Roman"/>
          <w:sz w:val="24"/>
          <w:szCs w:val="24"/>
          <w:lang w:val="uk-UA"/>
        </w:rPr>
        <w:t xml:space="preserve">(місяць) </w:t>
      </w:r>
      <w:r w:rsidRPr="00D57B35">
        <w:rPr>
          <w:rFonts w:ascii="Times New Roman" w:hAnsi="Times New Roman"/>
          <w:sz w:val="24"/>
          <w:szCs w:val="24"/>
        </w:rPr>
        <w:t xml:space="preserve">укладання договору або станом на момент </w:t>
      </w:r>
      <w:r w:rsidR="003B529C">
        <w:rPr>
          <w:rFonts w:ascii="Times New Roman" w:hAnsi="Times New Roman"/>
          <w:sz w:val="24"/>
          <w:szCs w:val="24"/>
          <w:lang w:val="uk-UA"/>
        </w:rPr>
        <w:t xml:space="preserve">(місяць) </w:t>
      </w:r>
      <w:r w:rsidRPr="00D57B35">
        <w:rPr>
          <w:rFonts w:ascii="Times New Roman" w:hAnsi="Times New Roman"/>
          <w:sz w:val="24"/>
          <w:szCs w:val="24"/>
        </w:rPr>
        <w:t>внесення змін до договору в частині ціни за одиницю, якщо такі зміни до договору вже були раніше здійснені Сторонами;</w:t>
      </w:r>
    </w:p>
    <w:p w14:paraId="04B592EF" w14:textId="77777777" w:rsidR="0082113B" w:rsidRPr="009E54F7" w:rsidRDefault="0082113B" w:rsidP="0082113B">
      <w:pPr>
        <w:spacing w:line="240" w:lineRule="auto"/>
        <w:ind w:firstLine="709"/>
        <w:jc w:val="both"/>
        <w:textAlignment w:val="baseline"/>
        <w:rPr>
          <w:rFonts w:ascii="Times New Roman" w:hAnsi="Times New Roman"/>
          <w:sz w:val="24"/>
          <w:szCs w:val="24"/>
        </w:rPr>
      </w:pPr>
      <w:r w:rsidRPr="009E54F7">
        <w:rPr>
          <w:rFonts w:ascii="Times New Roman" w:hAnsi="Times New Roman"/>
          <w:sz w:val="24"/>
          <w:szCs w:val="24"/>
        </w:rPr>
        <w:t xml:space="preserve">Ц2- </w:t>
      </w:r>
      <w:proofErr w:type="spellStart"/>
      <w:r w:rsidRPr="009E54F7">
        <w:rPr>
          <w:rFonts w:ascii="Times New Roman" w:hAnsi="Times New Roman"/>
          <w:sz w:val="24"/>
          <w:szCs w:val="24"/>
        </w:rPr>
        <w:t>середньоринкова</w:t>
      </w:r>
      <w:proofErr w:type="spellEnd"/>
      <w:r w:rsidRPr="009E54F7">
        <w:rPr>
          <w:rFonts w:ascii="Times New Roman" w:hAnsi="Times New Roman"/>
          <w:sz w:val="24"/>
          <w:szCs w:val="24"/>
        </w:rPr>
        <w:t xml:space="preserve"> ціна за одиницю товару </w:t>
      </w:r>
      <w:r w:rsidR="003B529C" w:rsidRPr="009E54F7">
        <w:rPr>
          <w:rFonts w:ascii="Times New Roman" w:hAnsi="Times New Roman"/>
          <w:sz w:val="24"/>
          <w:szCs w:val="24"/>
          <w:lang w:val="uk-UA"/>
        </w:rPr>
        <w:t xml:space="preserve">в місяці, який передує місяцю </w:t>
      </w:r>
      <w:r w:rsidR="003B529C" w:rsidRPr="009E54F7">
        <w:rPr>
          <w:rFonts w:ascii="Times New Roman" w:hAnsi="Times New Roman"/>
          <w:sz w:val="24"/>
          <w:szCs w:val="24"/>
        </w:rPr>
        <w:t>письмового звернення учасника</w:t>
      </w:r>
      <w:r w:rsidRPr="009E54F7">
        <w:rPr>
          <w:rFonts w:ascii="Times New Roman" w:hAnsi="Times New Roman"/>
          <w:sz w:val="24"/>
          <w:szCs w:val="24"/>
        </w:rPr>
        <w:t>.</w:t>
      </w:r>
    </w:p>
    <w:p w14:paraId="44D29172" w14:textId="77777777" w:rsidR="0082113B" w:rsidRPr="00E10A45" w:rsidRDefault="0082113B" w:rsidP="0082113B">
      <w:pPr>
        <w:spacing w:line="240" w:lineRule="auto"/>
        <w:ind w:firstLine="720"/>
        <w:contextualSpacing/>
        <w:jc w:val="both"/>
        <w:rPr>
          <w:rFonts w:ascii="Times New Roman" w:hAnsi="Times New Roman"/>
          <w:sz w:val="24"/>
          <w:szCs w:val="24"/>
        </w:rPr>
      </w:pPr>
      <w:r w:rsidRPr="00E10A45">
        <w:rPr>
          <w:rFonts w:ascii="Times New Roman" w:hAnsi="Times New Roman"/>
          <w:sz w:val="24"/>
          <w:szCs w:val="24"/>
        </w:rPr>
        <w:t xml:space="preserve">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 так само якщо Постачальником </w:t>
      </w:r>
      <w:proofErr w:type="spellStart"/>
      <w:r w:rsidRPr="00E10A45">
        <w:rPr>
          <w:rFonts w:ascii="Times New Roman" w:hAnsi="Times New Roman"/>
          <w:sz w:val="24"/>
          <w:szCs w:val="24"/>
        </w:rPr>
        <w:t>необгрунтовано</w:t>
      </w:r>
      <w:proofErr w:type="spellEnd"/>
      <w:r w:rsidRPr="00E10A45">
        <w:rPr>
          <w:rFonts w:ascii="Times New Roman" w:hAnsi="Times New Roman"/>
          <w:sz w:val="24"/>
          <w:szCs w:val="24"/>
        </w:rPr>
        <w:t xml:space="preserve"> </w:t>
      </w:r>
      <w:proofErr w:type="spellStart"/>
      <w:r w:rsidRPr="00E10A45">
        <w:rPr>
          <w:rFonts w:ascii="Times New Roman" w:hAnsi="Times New Roman"/>
          <w:sz w:val="24"/>
          <w:szCs w:val="24"/>
        </w:rPr>
        <w:t>занижено</w:t>
      </w:r>
      <w:proofErr w:type="spellEnd"/>
      <w:r w:rsidRPr="00E10A45">
        <w:rPr>
          <w:rFonts w:ascii="Times New Roman" w:hAnsi="Times New Roman"/>
          <w:sz w:val="24"/>
          <w:szCs w:val="24"/>
        </w:rPr>
        <w:t xml:space="preserve"> вартість тендерної пропозиції при її поданні або в процесі здійснення електронного аукціону, та у </w:t>
      </w:r>
      <w:r w:rsidRPr="00E10A45">
        <w:rPr>
          <w:rFonts w:ascii="Times New Roman" w:hAnsi="Times New Roman"/>
          <w:sz w:val="24"/>
          <w:szCs w:val="24"/>
        </w:rPr>
        <w:lastRenderedPageBreak/>
        <w:t xml:space="preserve">порівнянні з ціною, що визначається як </w:t>
      </w:r>
      <w:proofErr w:type="spellStart"/>
      <w:r w:rsidRPr="00E10A45">
        <w:rPr>
          <w:rFonts w:ascii="Times New Roman" w:hAnsi="Times New Roman"/>
          <w:sz w:val="24"/>
          <w:szCs w:val="24"/>
        </w:rPr>
        <w:t>середньоринкова</w:t>
      </w:r>
      <w:proofErr w:type="spellEnd"/>
      <w:r w:rsidRPr="00E10A45">
        <w:rPr>
          <w:rFonts w:ascii="Times New Roman" w:hAnsi="Times New Roman"/>
          <w:sz w:val="24"/>
          <w:szCs w:val="24"/>
        </w:rPr>
        <w:t xml:space="preserve"> на момент подання тендерної пропозиції учасником та згідно поданого таким учасником документу (документів), що підтверджують збільшення ціни за одиницю товару.</w:t>
      </w:r>
    </w:p>
    <w:p w14:paraId="5D22AC36" w14:textId="77777777" w:rsidR="002325F0" w:rsidRDefault="002325F0">
      <w:pPr>
        <w:spacing w:line="240" w:lineRule="auto"/>
        <w:ind w:firstLine="566"/>
        <w:jc w:val="center"/>
        <w:rPr>
          <w:rFonts w:ascii="Times New Roman" w:eastAsia="Times New Roman" w:hAnsi="Times New Roman" w:cs="Times New Roman"/>
          <w:b/>
          <w:sz w:val="24"/>
          <w:szCs w:val="24"/>
          <w:lang w:val="uk-UA"/>
        </w:rPr>
      </w:pPr>
    </w:p>
    <w:p w14:paraId="16357FBE" w14:textId="77777777"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325F0">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 ДОДАТКИ, ЩО Є НЕВІД’ЄМНИМИ ЧАСТИНАМИ ДОГОВОРУ </w:t>
      </w:r>
    </w:p>
    <w:p w14:paraId="1D72539F" w14:textId="77777777"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5FECC0F" w14:textId="77777777" w:rsidR="006A4E54" w:rsidRPr="00F9356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2325F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.2. Невід’</w:t>
      </w:r>
      <w:r w:rsidR="00F93564">
        <w:rPr>
          <w:rFonts w:ascii="Times New Roman" w:eastAsia="Times New Roman" w:hAnsi="Times New Roman" w:cs="Times New Roman"/>
          <w:sz w:val="24"/>
          <w:szCs w:val="24"/>
        </w:rPr>
        <w:t>ємною частиною цього Договору є</w:t>
      </w:r>
      <w:r>
        <w:rPr>
          <w:rFonts w:ascii="Times New Roman" w:eastAsia="Times New Roman" w:hAnsi="Times New Roman" w:cs="Times New Roman"/>
          <w:sz w:val="24"/>
          <w:szCs w:val="24"/>
        </w:rPr>
        <w:t xml:space="preserve"> </w:t>
      </w:r>
      <w:r w:rsidR="00F93564">
        <w:rPr>
          <w:rFonts w:ascii="Times New Roman" w:eastAsia="Times New Roman" w:hAnsi="Times New Roman" w:cs="Times New Roman"/>
          <w:sz w:val="24"/>
          <w:szCs w:val="24"/>
        </w:rPr>
        <w:t>Специфікація (Додаток № 1)</w:t>
      </w:r>
      <w:r w:rsidR="00F93564">
        <w:rPr>
          <w:rFonts w:ascii="Times New Roman" w:eastAsia="Times New Roman" w:hAnsi="Times New Roman" w:cs="Times New Roman"/>
          <w:sz w:val="24"/>
          <w:szCs w:val="24"/>
          <w:lang w:val="uk-UA"/>
        </w:rPr>
        <w:t>.</w:t>
      </w:r>
    </w:p>
    <w:p w14:paraId="5AE7385C" w14:textId="77777777" w:rsidR="00286E4A" w:rsidRDefault="00286E4A">
      <w:pPr>
        <w:spacing w:line="240" w:lineRule="auto"/>
        <w:ind w:firstLine="566"/>
        <w:jc w:val="center"/>
        <w:rPr>
          <w:rFonts w:ascii="Times New Roman" w:eastAsia="Times New Roman" w:hAnsi="Times New Roman" w:cs="Times New Roman"/>
          <w:b/>
          <w:color w:val="222222"/>
          <w:sz w:val="24"/>
          <w:szCs w:val="24"/>
          <w:lang w:val="uk-UA"/>
        </w:rPr>
      </w:pPr>
    </w:p>
    <w:p w14:paraId="736A0440" w14:textId="77777777" w:rsidR="009E54F7" w:rsidRPr="009E54F7" w:rsidRDefault="009E54F7" w:rsidP="009E54F7">
      <w:pPr>
        <w:keepNext/>
        <w:jc w:val="center"/>
        <w:outlineLvl w:val="3"/>
        <w:rPr>
          <w:rFonts w:ascii="Times New Roman" w:hAnsi="Times New Roman"/>
          <w:b/>
          <w:bCs/>
          <w:caps/>
          <w:sz w:val="24"/>
          <w:szCs w:val="24"/>
          <w:lang w:eastAsia="ru-RU"/>
        </w:rPr>
      </w:pPr>
      <w:r w:rsidRPr="009E54F7">
        <w:rPr>
          <w:rFonts w:ascii="Times New Roman" w:hAnsi="Times New Roman"/>
          <w:b/>
          <w:bCs/>
          <w:caps/>
          <w:sz w:val="24"/>
          <w:szCs w:val="24"/>
          <w:lang w:eastAsia="ru-RU"/>
        </w:rPr>
        <w:t>1</w:t>
      </w:r>
      <w:r>
        <w:rPr>
          <w:rFonts w:ascii="Times New Roman" w:hAnsi="Times New Roman"/>
          <w:b/>
          <w:bCs/>
          <w:caps/>
          <w:sz w:val="24"/>
          <w:szCs w:val="24"/>
          <w:lang w:val="uk-UA" w:eastAsia="ru-RU"/>
        </w:rPr>
        <w:t>5</w:t>
      </w:r>
      <w:r w:rsidRPr="009E54F7">
        <w:rPr>
          <w:rFonts w:ascii="Times New Roman" w:hAnsi="Times New Roman"/>
          <w:b/>
          <w:bCs/>
          <w:caps/>
          <w:sz w:val="24"/>
          <w:szCs w:val="24"/>
          <w:lang w:eastAsia="ru-RU"/>
        </w:rPr>
        <w:t>. Місцезнаходження і реквізити сторін</w:t>
      </w:r>
    </w:p>
    <w:p w14:paraId="4531FB7E" w14:textId="77777777" w:rsidR="009E54F7" w:rsidRPr="009E54F7" w:rsidRDefault="009E54F7" w:rsidP="009E54F7">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9E54F7" w:rsidRPr="009E54F7" w14:paraId="276A381F" w14:textId="77777777" w:rsidTr="00FF5D78">
        <w:trPr>
          <w:trHeight w:val="3654"/>
        </w:trPr>
        <w:tc>
          <w:tcPr>
            <w:tcW w:w="4644" w:type="dxa"/>
            <w:shd w:val="clear" w:color="auto" w:fill="auto"/>
          </w:tcPr>
          <w:p w14:paraId="2989EE83" w14:textId="77777777" w:rsidR="009E54F7" w:rsidRPr="009E54F7" w:rsidRDefault="009E54F7" w:rsidP="009E54F7">
            <w:pPr>
              <w:spacing w:line="240" w:lineRule="auto"/>
              <w:rPr>
                <w:rFonts w:ascii="Times New Roman" w:hAnsi="Times New Roman"/>
                <w:sz w:val="24"/>
                <w:szCs w:val="24"/>
              </w:rPr>
            </w:pPr>
          </w:p>
        </w:tc>
        <w:tc>
          <w:tcPr>
            <w:tcW w:w="5203" w:type="dxa"/>
            <w:shd w:val="clear" w:color="auto" w:fill="auto"/>
          </w:tcPr>
          <w:p w14:paraId="00B323BD"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Долинський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обласний</w:t>
            </w:r>
            <w:proofErr w:type="spellEnd"/>
            <w:r w:rsidRPr="004D676B">
              <w:rPr>
                <w:rFonts w:ascii="Times New Roman" w:eastAsia="Times New Roman" w:hAnsi="Times New Roman" w:cs="Times New Roman"/>
                <w:sz w:val="24"/>
                <w:szCs w:val="24"/>
                <w:lang w:val="ru-RU" w:eastAsia="ru-RU"/>
              </w:rPr>
              <w:t xml:space="preserve"> центр </w:t>
            </w:r>
            <w:proofErr w:type="spellStart"/>
            <w:proofErr w:type="gramStart"/>
            <w:r w:rsidRPr="004D676B">
              <w:rPr>
                <w:rFonts w:ascii="Times New Roman" w:eastAsia="Times New Roman" w:hAnsi="Times New Roman" w:cs="Times New Roman"/>
                <w:sz w:val="24"/>
                <w:szCs w:val="24"/>
                <w:lang w:val="ru-RU" w:eastAsia="ru-RU"/>
              </w:rPr>
              <w:t>соц</w:t>
            </w:r>
            <w:proofErr w:type="gramEnd"/>
            <w:r w:rsidRPr="004D676B">
              <w:rPr>
                <w:rFonts w:ascii="Times New Roman" w:eastAsia="Times New Roman" w:hAnsi="Times New Roman" w:cs="Times New Roman"/>
                <w:sz w:val="24"/>
                <w:szCs w:val="24"/>
                <w:lang w:val="ru-RU" w:eastAsia="ru-RU"/>
              </w:rPr>
              <w:t>іальної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підтримки</w:t>
            </w:r>
            <w:proofErr w:type="spellEnd"/>
          </w:p>
          <w:p w14:paraId="736EBE68"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дітей</w:t>
            </w:r>
            <w:proofErr w:type="spellEnd"/>
            <w:r w:rsidRPr="004D676B">
              <w:rPr>
                <w:rFonts w:ascii="Times New Roman" w:eastAsia="Times New Roman" w:hAnsi="Times New Roman" w:cs="Times New Roman"/>
                <w:sz w:val="24"/>
                <w:szCs w:val="24"/>
                <w:lang w:val="ru-RU" w:eastAsia="ru-RU"/>
              </w:rPr>
              <w:t xml:space="preserve"> та </w:t>
            </w:r>
            <w:proofErr w:type="spellStart"/>
            <w:proofErr w:type="gramStart"/>
            <w:r w:rsidRPr="004D676B">
              <w:rPr>
                <w:rFonts w:ascii="Times New Roman" w:eastAsia="Times New Roman" w:hAnsi="Times New Roman" w:cs="Times New Roman"/>
                <w:sz w:val="24"/>
                <w:szCs w:val="24"/>
                <w:lang w:val="ru-RU" w:eastAsia="ru-RU"/>
              </w:rPr>
              <w:t>сімей</w:t>
            </w:r>
            <w:proofErr w:type="spellEnd"/>
            <w:proofErr w:type="gram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Теплий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дім</w:t>
            </w:r>
            <w:proofErr w:type="spellEnd"/>
            <w:r w:rsidRPr="004D676B">
              <w:rPr>
                <w:rFonts w:ascii="Times New Roman" w:eastAsia="Times New Roman" w:hAnsi="Times New Roman" w:cs="Times New Roman"/>
                <w:sz w:val="24"/>
                <w:szCs w:val="24"/>
                <w:lang w:val="ru-RU" w:eastAsia="ru-RU"/>
              </w:rPr>
              <w:t>»</w:t>
            </w:r>
          </w:p>
          <w:p w14:paraId="7A8B9730"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обласної</w:t>
            </w:r>
            <w:proofErr w:type="spellEnd"/>
            <w:r w:rsidRPr="004D676B">
              <w:rPr>
                <w:rFonts w:ascii="Times New Roman" w:eastAsia="Times New Roman" w:hAnsi="Times New Roman" w:cs="Times New Roman"/>
                <w:sz w:val="24"/>
                <w:szCs w:val="24"/>
                <w:lang w:val="ru-RU" w:eastAsia="ru-RU"/>
              </w:rPr>
              <w:t xml:space="preserve"> ради</w:t>
            </w:r>
          </w:p>
          <w:p w14:paraId="5833F81C"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Код ЄДРПОУ 43678123</w:t>
            </w:r>
          </w:p>
          <w:p w14:paraId="5CC224C2"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Юридична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 </w:t>
            </w:r>
          </w:p>
          <w:p w14:paraId="1F091779"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proofErr w:type="gramStart"/>
            <w:r w:rsidRPr="004D676B">
              <w:rPr>
                <w:rFonts w:ascii="Times New Roman" w:eastAsia="Times New Roman" w:hAnsi="Times New Roman" w:cs="Times New Roman"/>
                <w:sz w:val="24"/>
                <w:szCs w:val="24"/>
                <w:lang w:val="ru-RU" w:eastAsia="ru-RU"/>
              </w:rPr>
              <w:t>м</w:t>
            </w:r>
            <w:proofErr w:type="gramEnd"/>
            <w:r w:rsidRPr="004D676B">
              <w:rPr>
                <w:rFonts w:ascii="Times New Roman" w:eastAsia="Times New Roman" w:hAnsi="Times New Roman" w:cs="Times New Roman"/>
                <w:sz w:val="24"/>
                <w:szCs w:val="24"/>
                <w:lang w:val="ru-RU" w:eastAsia="ru-RU"/>
              </w:rPr>
              <w:t>істо</w:t>
            </w:r>
            <w:proofErr w:type="spellEnd"/>
            <w:r w:rsidRPr="004D676B">
              <w:rPr>
                <w:rFonts w:ascii="Times New Roman" w:eastAsia="Times New Roman" w:hAnsi="Times New Roman" w:cs="Times New Roman"/>
                <w:sz w:val="24"/>
                <w:szCs w:val="24"/>
                <w:lang w:val="ru-RU" w:eastAsia="ru-RU"/>
              </w:rPr>
              <w:t xml:space="preserve"> Долина,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Івасюка</w:t>
            </w:r>
            <w:proofErr w:type="spellEnd"/>
            <w:r w:rsidRPr="004D676B">
              <w:rPr>
                <w:rFonts w:ascii="Times New Roman" w:eastAsia="Times New Roman" w:hAnsi="Times New Roman" w:cs="Times New Roman"/>
                <w:sz w:val="24"/>
                <w:szCs w:val="24"/>
                <w:lang w:val="ru-RU" w:eastAsia="ru-RU"/>
              </w:rPr>
              <w:t xml:space="preserve">, буд. 16 </w:t>
            </w:r>
          </w:p>
          <w:p w14:paraId="3AD62D23"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Поштова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Івасюка,16, м. Долина,</w:t>
            </w:r>
          </w:p>
          <w:p w14:paraId="458E69B0"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w:t>
            </w:r>
          </w:p>
          <w:p w14:paraId="037953D7"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Рахунок</w:t>
            </w:r>
            <w:proofErr w:type="spellEnd"/>
            <w:r w:rsidRPr="004D676B">
              <w:rPr>
                <w:rFonts w:ascii="Times New Roman" w:eastAsia="Times New Roman" w:hAnsi="Times New Roman" w:cs="Times New Roman"/>
                <w:sz w:val="24"/>
                <w:szCs w:val="24"/>
                <w:lang w:val="ru-RU" w:eastAsia="ru-RU"/>
              </w:rPr>
              <w:t>: UA128201720344280003000161295</w:t>
            </w:r>
          </w:p>
          <w:p w14:paraId="60921CD8"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МФО 820172</w:t>
            </w:r>
          </w:p>
          <w:p w14:paraId="60697E15"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тел.: (03477)20370</w:t>
            </w:r>
          </w:p>
          <w:p w14:paraId="4A16CFE2" w14:textId="77777777" w:rsidR="00CE3BD9" w:rsidRPr="004D676B" w:rsidRDefault="00CE3BD9" w:rsidP="00CE3BD9">
            <w:pPr>
              <w:spacing w:line="240" w:lineRule="auto"/>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Електронна</w:t>
            </w:r>
            <w:proofErr w:type="spellEnd"/>
            <w:r w:rsidRPr="004D676B">
              <w:rPr>
                <w:rFonts w:ascii="Times New Roman" w:eastAsia="Times New Roman" w:hAnsi="Times New Roman" w:cs="Times New Roman"/>
                <w:sz w:val="24"/>
                <w:szCs w:val="24"/>
                <w:lang w:val="ru-RU" w:eastAsia="ru-RU"/>
              </w:rPr>
              <w:t xml:space="preserve"> адреса (e-</w:t>
            </w:r>
            <w:proofErr w:type="spellStart"/>
            <w:r w:rsidRPr="004D676B">
              <w:rPr>
                <w:rFonts w:ascii="Times New Roman" w:eastAsia="Times New Roman" w:hAnsi="Times New Roman" w:cs="Times New Roman"/>
                <w:sz w:val="24"/>
                <w:szCs w:val="24"/>
                <w:lang w:val="ru-RU" w:eastAsia="ru-RU"/>
              </w:rPr>
              <w:t>mail</w:t>
            </w:r>
            <w:proofErr w:type="spellEnd"/>
            <w:r w:rsidRPr="004D676B">
              <w:rPr>
                <w:rFonts w:ascii="Times New Roman" w:eastAsia="Times New Roman" w:hAnsi="Times New Roman" w:cs="Times New Roman"/>
                <w:sz w:val="24"/>
                <w:szCs w:val="24"/>
                <w:lang w:val="ru-RU" w:eastAsia="ru-RU"/>
              </w:rPr>
              <w:t>): centr_spds@ukr.net</w:t>
            </w:r>
          </w:p>
          <w:p w14:paraId="6831EC4A" w14:textId="77777777" w:rsidR="00CE3BD9" w:rsidRPr="004D676B" w:rsidRDefault="00CE3BD9" w:rsidP="00CE3BD9">
            <w:pPr>
              <w:spacing w:line="240" w:lineRule="auto"/>
              <w:rPr>
                <w:rFonts w:ascii="Times New Roman" w:eastAsia="Times New Roman" w:hAnsi="Times New Roman" w:cs="Times New Roman"/>
                <w:sz w:val="24"/>
                <w:szCs w:val="24"/>
                <w:lang w:val="ru-RU" w:eastAsia="ru-RU"/>
              </w:rPr>
            </w:pPr>
          </w:p>
          <w:p w14:paraId="5E42AEE5" w14:textId="77777777" w:rsidR="00CE3BD9" w:rsidRPr="004D676B" w:rsidRDefault="00CE3BD9" w:rsidP="00CE3BD9">
            <w:pPr>
              <w:snapToGrid w:val="0"/>
              <w:spacing w:line="240" w:lineRule="auto"/>
              <w:ind w:right="-54"/>
              <w:jc w:val="both"/>
              <w:rPr>
                <w:rFonts w:ascii="Times New Roman" w:eastAsia="Times New Roman" w:hAnsi="Times New Roman" w:cs="Times New Roman"/>
                <w:b/>
                <w:sz w:val="21"/>
                <w:szCs w:val="21"/>
                <w:lang w:val="uk-UA"/>
              </w:rPr>
            </w:pPr>
            <w:r w:rsidRPr="004D676B">
              <w:rPr>
                <w:rFonts w:ascii="Times New Roman" w:eastAsia="Times New Roman" w:hAnsi="Times New Roman" w:cs="Times New Roman"/>
                <w:sz w:val="24"/>
                <w:szCs w:val="24"/>
                <w:lang w:val="ru-RU" w:eastAsia="ru-RU"/>
              </w:rPr>
              <w:t xml:space="preserve">________________________ </w:t>
            </w:r>
            <w:r w:rsidRPr="004D676B">
              <w:rPr>
                <w:rFonts w:ascii="Times New Roman" w:eastAsia="Times New Roman" w:hAnsi="Times New Roman" w:cs="Times New Roman"/>
                <w:sz w:val="24"/>
                <w:szCs w:val="24"/>
                <w:lang w:val="uk-UA" w:eastAsia="ru-RU"/>
              </w:rPr>
              <w:t>Н</w:t>
            </w:r>
            <w:r w:rsidRPr="004D676B">
              <w:rPr>
                <w:rFonts w:ascii="Times New Roman" w:eastAsia="Times New Roman" w:hAnsi="Times New Roman" w:cs="Times New Roman"/>
                <w:sz w:val="24"/>
                <w:szCs w:val="24"/>
                <w:lang w:val="ru-RU" w:eastAsia="ru-RU"/>
              </w:rPr>
              <w:t xml:space="preserve">. </w:t>
            </w:r>
            <w:r w:rsidRPr="004D676B">
              <w:rPr>
                <w:rFonts w:ascii="Times New Roman" w:eastAsia="Times New Roman" w:hAnsi="Times New Roman" w:cs="Times New Roman"/>
                <w:sz w:val="24"/>
                <w:szCs w:val="24"/>
                <w:lang w:val="uk-UA" w:eastAsia="ru-RU"/>
              </w:rPr>
              <w:t>КУЦАЛАБА</w:t>
            </w:r>
          </w:p>
          <w:p w14:paraId="303CCBFB" w14:textId="55D8FEC8" w:rsidR="009E54F7" w:rsidRPr="009E54F7" w:rsidRDefault="009E54F7" w:rsidP="009E54F7">
            <w:pPr>
              <w:pStyle w:val="2"/>
              <w:spacing w:before="0" w:after="0"/>
              <w:ind w:left="176"/>
              <w:jc w:val="both"/>
              <w:rPr>
                <w:rFonts w:ascii="Times New Roman" w:hAnsi="Times New Roman"/>
                <w:i/>
                <w:iCs/>
                <w:sz w:val="24"/>
                <w:szCs w:val="24"/>
              </w:rPr>
            </w:pPr>
          </w:p>
        </w:tc>
      </w:tr>
    </w:tbl>
    <w:p w14:paraId="30F7D23B" w14:textId="77777777" w:rsidR="009E54F7" w:rsidRPr="009E54F7" w:rsidRDefault="009E54F7">
      <w:pPr>
        <w:spacing w:line="240" w:lineRule="auto"/>
        <w:ind w:firstLine="566"/>
        <w:jc w:val="center"/>
        <w:rPr>
          <w:rFonts w:ascii="Times New Roman" w:eastAsia="Times New Roman" w:hAnsi="Times New Roman" w:cs="Times New Roman"/>
          <w:b/>
          <w:color w:val="222222"/>
          <w:sz w:val="24"/>
          <w:szCs w:val="24"/>
        </w:rPr>
      </w:pPr>
    </w:p>
    <w:p w14:paraId="2E48FA86" w14:textId="77777777" w:rsidR="006A4E54" w:rsidRDefault="00FD33C6">
      <w:pPr>
        <w:spacing w:after="200"/>
        <w:jc w:val="right"/>
        <w:rPr>
          <w:rFonts w:ascii="Times New Roman" w:eastAsia="Times New Roman" w:hAnsi="Times New Roman" w:cs="Times New Roman"/>
          <w:sz w:val="24"/>
          <w:szCs w:val="24"/>
        </w:rPr>
      </w:pPr>
      <w:r>
        <w:br w:type="page"/>
      </w:r>
    </w:p>
    <w:p w14:paraId="40BFBF65" w14:textId="77777777" w:rsidR="006A4E54" w:rsidRDefault="00FD33C6" w:rsidP="00003F5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171E61EE" w14:textId="77777777"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w:t>
      </w:r>
    </w:p>
    <w:p w14:paraId="039FB1F2" w14:textId="77777777"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14:paraId="207A3329" w14:textId="77777777" w:rsidR="00C12646" w:rsidRDefault="00C12646" w:rsidP="00003F50">
      <w:pPr>
        <w:spacing w:line="240" w:lineRule="auto"/>
        <w:ind w:firstLine="566"/>
        <w:jc w:val="center"/>
        <w:rPr>
          <w:rFonts w:ascii="Times New Roman" w:eastAsia="Times New Roman" w:hAnsi="Times New Roman" w:cs="Times New Roman"/>
          <w:b/>
          <w:sz w:val="24"/>
          <w:szCs w:val="24"/>
          <w:lang w:val="uk-UA"/>
        </w:rPr>
      </w:pPr>
    </w:p>
    <w:p w14:paraId="0B095FC0" w14:textId="77777777" w:rsidR="006A4E54" w:rsidRDefault="00FD33C6" w:rsidP="00003F50">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4"/>
        <w:tblW w:w="9914" w:type="dxa"/>
        <w:tblInd w:w="0" w:type="dxa"/>
        <w:tblLayout w:type="fixed"/>
        <w:tblLook w:val="0400" w:firstRow="0" w:lastRow="0" w:firstColumn="0" w:lastColumn="0" w:noHBand="0" w:noVBand="1"/>
      </w:tblPr>
      <w:tblGrid>
        <w:gridCol w:w="682"/>
        <w:gridCol w:w="2963"/>
        <w:gridCol w:w="1275"/>
        <w:gridCol w:w="1418"/>
        <w:gridCol w:w="1701"/>
        <w:gridCol w:w="1875"/>
      </w:tblGrid>
      <w:tr w:rsidR="006A4E54" w14:paraId="606DFAA4" w14:textId="77777777" w:rsidTr="006A7031">
        <w:trPr>
          <w:trHeight w:val="1003"/>
        </w:trPr>
        <w:tc>
          <w:tcPr>
            <w:tcW w:w="682" w:type="dxa"/>
            <w:tcBorders>
              <w:top w:val="single" w:sz="8" w:space="0" w:color="000000"/>
              <w:left w:val="single" w:sz="8" w:space="0" w:color="000000"/>
              <w:bottom w:val="single" w:sz="8" w:space="0" w:color="000000"/>
              <w:right w:val="single" w:sz="8" w:space="0" w:color="000000"/>
            </w:tcBorders>
            <w:vAlign w:val="center"/>
          </w:tcPr>
          <w:p w14:paraId="01AAF08B" w14:textId="77777777" w:rsidR="006A4E54" w:rsidRDefault="00C12646" w:rsidP="00C12646">
            <w:pPr>
              <w:widowControl w:val="0"/>
              <w:spacing w:line="240" w:lineRule="auto"/>
              <w:ind w:right="-115"/>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w:t>
            </w:r>
            <w:r w:rsidR="00FD33C6">
              <w:rPr>
                <w:rFonts w:ascii="Times New Roman" w:eastAsia="Times New Roman" w:hAnsi="Times New Roman" w:cs="Times New Roman"/>
                <w:b/>
                <w:sz w:val="24"/>
                <w:szCs w:val="24"/>
              </w:rPr>
              <w:t xml:space="preserve"> з/п</w:t>
            </w:r>
          </w:p>
        </w:tc>
        <w:tc>
          <w:tcPr>
            <w:tcW w:w="2963" w:type="dxa"/>
            <w:tcBorders>
              <w:top w:val="single" w:sz="8" w:space="0" w:color="000000"/>
              <w:left w:val="single" w:sz="8" w:space="0" w:color="000000"/>
              <w:bottom w:val="single" w:sz="8" w:space="0" w:color="000000"/>
              <w:right w:val="single" w:sz="8" w:space="0" w:color="000000"/>
            </w:tcBorders>
            <w:vAlign w:val="center"/>
          </w:tcPr>
          <w:p w14:paraId="15DAA2EB" w14:textId="77777777"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7FA8E178" w14:textId="77777777"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8" w:type="dxa"/>
            <w:tcBorders>
              <w:top w:val="single" w:sz="8" w:space="0" w:color="000000"/>
              <w:left w:val="single" w:sz="8" w:space="0" w:color="000000"/>
              <w:bottom w:val="single" w:sz="8" w:space="0" w:color="000000"/>
              <w:right w:val="single" w:sz="8" w:space="0" w:color="000000"/>
            </w:tcBorders>
            <w:vAlign w:val="center"/>
          </w:tcPr>
          <w:p w14:paraId="0CDEB01C" w14:textId="77777777"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1" w:type="dxa"/>
            <w:tcBorders>
              <w:top w:val="single" w:sz="8" w:space="0" w:color="000000"/>
              <w:left w:val="single" w:sz="8" w:space="0" w:color="000000"/>
              <w:bottom w:val="single" w:sz="4" w:space="0" w:color="000000"/>
              <w:right w:val="single" w:sz="8" w:space="0" w:color="000000"/>
            </w:tcBorders>
            <w:vAlign w:val="center"/>
          </w:tcPr>
          <w:p w14:paraId="5616CADB" w14:textId="77777777"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875" w:type="dxa"/>
            <w:tcBorders>
              <w:top w:val="single" w:sz="8" w:space="0" w:color="000000"/>
              <w:left w:val="single" w:sz="8" w:space="0" w:color="000000"/>
              <w:bottom w:val="single" w:sz="4" w:space="0" w:color="000000"/>
              <w:right w:val="single" w:sz="8" w:space="0" w:color="000000"/>
            </w:tcBorders>
            <w:vAlign w:val="center"/>
          </w:tcPr>
          <w:p w14:paraId="43712599" w14:textId="77777777" w:rsidR="006A4E54" w:rsidRDefault="00FD33C6" w:rsidP="00003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66BC49F4" w14:textId="77777777"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590E19" w14:paraId="7A287DBE" w14:textId="77777777" w:rsidTr="006A7031">
        <w:trPr>
          <w:trHeight w:val="460"/>
        </w:trPr>
        <w:tc>
          <w:tcPr>
            <w:tcW w:w="682" w:type="dxa"/>
            <w:tcBorders>
              <w:top w:val="nil"/>
              <w:left w:val="single" w:sz="8" w:space="0" w:color="000000"/>
              <w:bottom w:val="single" w:sz="8" w:space="0" w:color="000000"/>
              <w:right w:val="single" w:sz="8" w:space="0" w:color="000000"/>
            </w:tcBorders>
            <w:vAlign w:val="center"/>
          </w:tcPr>
          <w:p w14:paraId="418045D7" w14:textId="0504E859" w:rsidR="00590E19" w:rsidRPr="00580FD0" w:rsidRDefault="00590E19" w:rsidP="00590E19">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63" w:type="dxa"/>
            <w:tcBorders>
              <w:top w:val="nil"/>
              <w:left w:val="nil"/>
              <w:bottom w:val="single" w:sz="8" w:space="0" w:color="000000"/>
              <w:right w:val="single" w:sz="8" w:space="0" w:color="000000"/>
            </w:tcBorders>
            <w:vAlign w:val="center"/>
          </w:tcPr>
          <w:p w14:paraId="710411C9" w14:textId="18691AFD" w:rsidR="00590E19" w:rsidRPr="00CE3BD9" w:rsidRDefault="00590E19" w:rsidP="00CE3BD9">
            <w:pPr>
              <w:rPr>
                <w:rFonts w:ascii="Times New Roman" w:hAnsi="Times New Roman"/>
                <w:bCs/>
                <w:sz w:val="24"/>
                <w:szCs w:val="24"/>
                <w:lang w:val="uk-UA"/>
              </w:rPr>
            </w:pPr>
            <w:r>
              <w:rPr>
                <w:rFonts w:ascii="Times New Roman" w:hAnsi="Times New Roman"/>
                <w:snapToGrid w:val="0"/>
                <w:sz w:val="24"/>
                <w:szCs w:val="24"/>
              </w:rPr>
              <w:t>Сир твердий</w:t>
            </w:r>
            <w:r w:rsidR="00CE3BD9" w:rsidRPr="00CE3BD9">
              <w:rPr>
                <w:rFonts w:ascii="Times New Roman" w:hAnsi="Times New Roman"/>
                <w:snapToGrid w:val="0"/>
                <w:sz w:val="24"/>
                <w:szCs w:val="24"/>
                <w:lang w:val="ru-RU"/>
              </w:rPr>
              <w:t xml:space="preserve"> </w:t>
            </w:r>
            <w:r w:rsidR="00CE3BD9">
              <w:rPr>
                <w:rFonts w:ascii="Times New Roman" w:hAnsi="Times New Roman"/>
                <w:snapToGrid w:val="0"/>
                <w:sz w:val="24"/>
                <w:szCs w:val="24"/>
                <w:lang w:val="uk-UA"/>
              </w:rPr>
              <w:t xml:space="preserve"> (не менше 50% жирності)</w:t>
            </w:r>
          </w:p>
        </w:tc>
        <w:tc>
          <w:tcPr>
            <w:tcW w:w="1275" w:type="dxa"/>
            <w:tcBorders>
              <w:top w:val="nil"/>
              <w:left w:val="nil"/>
              <w:bottom w:val="single" w:sz="8" w:space="0" w:color="000000"/>
              <w:right w:val="single" w:sz="8" w:space="0" w:color="000000"/>
            </w:tcBorders>
            <w:vAlign w:val="center"/>
          </w:tcPr>
          <w:p w14:paraId="442B2D34" w14:textId="06023AA3" w:rsidR="00590E19" w:rsidRPr="00590E19" w:rsidRDefault="00590E19" w:rsidP="00590E19">
            <w:pPr>
              <w:widowControl w:val="0"/>
              <w:spacing w:line="240" w:lineRule="auto"/>
              <w:ind w:firstLine="566"/>
              <w:rPr>
                <w:rFonts w:ascii="Times New Roman" w:eastAsia="Times New Roman" w:hAnsi="Times New Roman" w:cs="Times New Roman"/>
                <w:sz w:val="24"/>
                <w:szCs w:val="24"/>
                <w:lang w:val="uk-UA"/>
              </w:rPr>
            </w:pPr>
            <w:r w:rsidRPr="00590E19">
              <w:rPr>
                <w:rFonts w:ascii="Times New Roman" w:hAnsi="Times New Roman" w:cs="Times New Roman"/>
                <w:shd w:val="clear" w:color="auto" w:fill="FFFFFF"/>
              </w:rPr>
              <w:t>кг</w:t>
            </w:r>
          </w:p>
        </w:tc>
        <w:tc>
          <w:tcPr>
            <w:tcW w:w="1418" w:type="dxa"/>
            <w:tcBorders>
              <w:top w:val="nil"/>
              <w:left w:val="nil"/>
              <w:bottom w:val="single" w:sz="8" w:space="0" w:color="000000"/>
              <w:right w:val="single" w:sz="8" w:space="0" w:color="000000"/>
            </w:tcBorders>
            <w:vAlign w:val="center"/>
          </w:tcPr>
          <w:p w14:paraId="4771EDFF" w14:textId="1FEF8C61" w:rsidR="00590E19" w:rsidRPr="006A7031" w:rsidRDefault="00CE3BD9" w:rsidP="00590E19">
            <w:pPr>
              <w:widowControl w:val="0"/>
              <w:spacing w:line="240" w:lineRule="auto"/>
              <w:ind w:firstLine="7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180</w:t>
            </w:r>
          </w:p>
        </w:tc>
        <w:tc>
          <w:tcPr>
            <w:tcW w:w="1701" w:type="dxa"/>
            <w:tcBorders>
              <w:top w:val="nil"/>
              <w:left w:val="nil"/>
              <w:bottom w:val="single" w:sz="8" w:space="0" w:color="000000"/>
              <w:right w:val="single" w:sz="8" w:space="0" w:color="000000"/>
            </w:tcBorders>
            <w:vAlign w:val="center"/>
          </w:tcPr>
          <w:p w14:paraId="78C41BC3" w14:textId="77777777" w:rsidR="00590E19" w:rsidRDefault="00590E19" w:rsidP="00590E19">
            <w:pPr>
              <w:widowControl w:val="0"/>
              <w:spacing w:line="240" w:lineRule="auto"/>
              <w:ind w:firstLine="78"/>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14:paraId="1669F6A9" w14:textId="77777777" w:rsidR="00590E19" w:rsidRDefault="00590E19" w:rsidP="00590E19">
            <w:pPr>
              <w:widowControl w:val="0"/>
              <w:spacing w:line="240" w:lineRule="auto"/>
              <w:ind w:firstLine="78"/>
              <w:jc w:val="center"/>
              <w:rPr>
                <w:rFonts w:ascii="Times New Roman" w:eastAsia="Times New Roman" w:hAnsi="Times New Roman" w:cs="Times New Roman"/>
                <w:sz w:val="24"/>
                <w:szCs w:val="24"/>
              </w:rPr>
            </w:pPr>
          </w:p>
        </w:tc>
      </w:tr>
      <w:tr w:rsidR="00590E19" w14:paraId="6CA2E459" w14:textId="77777777" w:rsidTr="006A7031">
        <w:trPr>
          <w:trHeight w:val="460"/>
        </w:trPr>
        <w:tc>
          <w:tcPr>
            <w:tcW w:w="682" w:type="dxa"/>
            <w:tcBorders>
              <w:top w:val="nil"/>
              <w:left w:val="single" w:sz="8" w:space="0" w:color="000000"/>
              <w:bottom w:val="single" w:sz="8" w:space="0" w:color="000000"/>
              <w:right w:val="single" w:sz="8" w:space="0" w:color="000000"/>
            </w:tcBorders>
            <w:vAlign w:val="center"/>
          </w:tcPr>
          <w:p w14:paraId="7E6CE5BE" w14:textId="03C2B94E" w:rsidR="00590E19" w:rsidRPr="00580FD0" w:rsidRDefault="00590E19" w:rsidP="00590E19">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63" w:type="dxa"/>
            <w:tcBorders>
              <w:top w:val="nil"/>
              <w:left w:val="nil"/>
              <w:bottom w:val="single" w:sz="8" w:space="0" w:color="000000"/>
              <w:right w:val="single" w:sz="8" w:space="0" w:color="000000"/>
            </w:tcBorders>
            <w:vAlign w:val="center"/>
          </w:tcPr>
          <w:p w14:paraId="32B6B6D1" w14:textId="0F68B405" w:rsidR="00590E19" w:rsidRPr="00CE3BD9" w:rsidRDefault="00590E19" w:rsidP="00590E19">
            <w:pPr>
              <w:rPr>
                <w:rFonts w:ascii="Times New Roman" w:hAnsi="Times New Roman"/>
                <w:bCs/>
                <w:sz w:val="24"/>
                <w:szCs w:val="24"/>
                <w:lang w:val="uk-UA"/>
              </w:rPr>
            </w:pPr>
            <w:r>
              <w:rPr>
                <w:rFonts w:ascii="Times New Roman" w:hAnsi="Times New Roman"/>
                <w:sz w:val="24"/>
                <w:szCs w:val="24"/>
              </w:rPr>
              <w:t>Сир кисломолочний</w:t>
            </w:r>
            <w:r w:rsidR="00CE3BD9">
              <w:rPr>
                <w:rFonts w:ascii="Times New Roman" w:hAnsi="Times New Roman"/>
                <w:sz w:val="24"/>
                <w:szCs w:val="24"/>
                <w:lang w:val="uk-UA"/>
              </w:rPr>
              <w:t xml:space="preserve">  (жирністю не менше  9%)</w:t>
            </w:r>
          </w:p>
        </w:tc>
        <w:tc>
          <w:tcPr>
            <w:tcW w:w="1275" w:type="dxa"/>
            <w:tcBorders>
              <w:top w:val="nil"/>
              <w:left w:val="nil"/>
              <w:bottom w:val="single" w:sz="8" w:space="0" w:color="000000"/>
              <w:right w:val="single" w:sz="8" w:space="0" w:color="000000"/>
            </w:tcBorders>
            <w:vAlign w:val="center"/>
          </w:tcPr>
          <w:p w14:paraId="26902F18" w14:textId="2B1D4E8F" w:rsidR="00590E19" w:rsidRPr="00590E19" w:rsidRDefault="00590E19" w:rsidP="00590E19">
            <w:pPr>
              <w:widowControl w:val="0"/>
              <w:spacing w:line="240" w:lineRule="auto"/>
              <w:ind w:firstLine="566"/>
              <w:rPr>
                <w:rFonts w:ascii="Times New Roman" w:eastAsia="Times New Roman" w:hAnsi="Times New Roman" w:cs="Times New Roman"/>
                <w:sz w:val="24"/>
                <w:szCs w:val="24"/>
                <w:lang w:val="uk-UA"/>
              </w:rPr>
            </w:pPr>
            <w:r>
              <w:rPr>
                <w:rFonts w:ascii="Times New Roman" w:hAnsi="Times New Roman" w:cs="Times New Roman"/>
                <w:shd w:val="clear" w:color="auto" w:fill="FFFFFF"/>
                <w:lang w:val="uk-UA"/>
              </w:rPr>
              <w:t>к</w:t>
            </w:r>
            <w:r w:rsidRPr="00590E19">
              <w:rPr>
                <w:rFonts w:ascii="Times New Roman" w:hAnsi="Times New Roman" w:cs="Times New Roman"/>
                <w:shd w:val="clear" w:color="auto" w:fill="FFFFFF"/>
              </w:rPr>
              <w:t>г</w:t>
            </w:r>
          </w:p>
        </w:tc>
        <w:tc>
          <w:tcPr>
            <w:tcW w:w="1418" w:type="dxa"/>
            <w:tcBorders>
              <w:top w:val="nil"/>
              <w:left w:val="nil"/>
              <w:bottom w:val="single" w:sz="8" w:space="0" w:color="000000"/>
              <w:right w:val="single" w:sz="8" w:space="0" w:color="000000"/>
            </w:tcBorders>
            <w:vAlign w:val="center"/>
          </w:tcPr>
          <w:p w14:paraId="046B63EB" w14:textId="60911436" w:rsidR="00590E19" w:rsidRPr="006A7031" w:rsidRDefault="00CE3BD9" w:rsidP="00590E19">
            <w:pPr>
              <w:widowControl w:val="0"/>
              <w:spacing w:line="240" w:lineRule="auto"/>
              <w:ind w:firstLine="7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1508</w:t>
            </w:r>
            <w:bookmarkStart w:id="0" w:name="_GoBack"/>
            <w:bookmarkEnd w:id="0"/>
          </w:p>
        </w:tc>
        <w:tc>
          <w:tcPr>
            <w:tcW w:w="1701" w:type="dxa"/>
            <w:tcBorders>
              <w:top w:val="nil"/>
              <w:left w:val="nil"/>
              <w:bottom w:val="single" w:sz="8" w:space="0" w:color="000000"/>
              <w:right w:val="single" w:sz="8" w:space="0" w:color="000000"/>
            </w:tcBorders>
            <w:vAlign w:val="center"/>
          </w:tcPr>
          <w:p w14:paraId="26E4EAB1" w14:textId="77777777" w:rsidR="00590E19" w:rsidRDefault="00590E19" w:rsidP="00590E19">
            <w:pPr>
              <w:widowControl w:val="0"/>
              <w:spacing w:line="240" w:lineRule="auto"/>
              <w:ind w:firstLine="78"/>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14:paraId="370C443F" w14:textId="77777777" w:rsidR="00590E19" w:rsidRDefault="00590E19" w:rsidP="00590E19">
            <w:pPr>
              <w:widowControl w:val="0"/>
              <w:spacing w:line="240" w:lineRule="auto"/>
              <w:ind w:firstLine="78"/>
              <w:jc w:val="center"/>
              <w:rPr>
                <w:rFonts w:ascii="Times New Roman" w:eastAsia="Times New Roman" w:hAnsi="Times New Roman" w:cs="Times New Roman"/>
                <w:sz w:val="24"/>
                <w:szCs w:val="24"/>
              </w:rPr>
            </w:pPr>
          </w:p>
        </w:tc>
      </w:tr>
      <w:tr w:rsidR="006A7031" w14:paraId="6A3E0AED" w14:textId="77777777" w:rsidTr="006A7031">
        <w:trPr>
          <w:trHeight w:val="280"/>
        </w:trPr>
        <w:tc>
          <w:tcPr>
            <w:tcW w:w="8039" w:type="dxa"/>
            <w:gridSpan w:val="5"/>
            <w:tcBorders>
              <w:top w:val="single" w:sz="4" w:space="0" w:color="000000"/>
              <w:left w:val="single" w:sz="4" w:space="0" w:color="000000"/>
              <w:bottom w:val="single" w:sz="4" w:space="0" w:color="000000"/>
              <w:right w:val="single" w:sz="4" w:space="0" w:color="000000"/>
            </w:tcBorders>
            <w:vAlign w:val="center"/>
          </w:tcPr>
          <w:p w14:paraId="55DDBF13" w14:textId="77777777" w:rsidR="006A7031" w:rsidRDefault="006A7031"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875" w:type="dxa"/>
            <w:tcBorders>
              <w:top w:val="single" w:sz="4" w:space="0" w:color="000000"/>
              <w:left w:val="single" w:sz="4" w:space="0" w:color="000000"/>
              <w:bottom w:val="single" w:sz="4" w:space="0" w:color="000000"/>
              <w:right w:val="single" w:sz="4" w:space="0" w:color="000000"/>
            </w:tcBorders>
          </w:tcPr>
          <w:p w14:paraId="36F82F5E" w14:textId="77777777" w:rsidR="006A7031" w:rsidRDefault="006A7031" w:rsidP="00003F50">
            <w:pPr>
              <w:widowControl w:val="0"/>
              <w:spacing w:line="240" w:lineRule="auto"/>
              <w:ind w:firstLine="566"/>
              <w:jc w:val="right"/>
              <w:rPr>
                <w:rFonts w:ascii="Times New Roman" w:eastAsia="Times New Roman" w:hAnsi="Times New Roman" w:cs="Times New Roman"/>
                <w:sz w:val="24"/>
                <w:szCs w:val="24"/>
              </w:rPr>
            </w:pPr>
          </w:p>
        </w:tc>
      </w:tr>
      <w:tr w:rsidR="006A7031" w14:paraId="0BD9280A" w14:textId="77777777" w:rsidTr="006A7031">
        <w:trPr>
          <w:trHeight w:val="260"/>
        </w:trPr>
        <w:tc>
          <w:tcPr>
            <w:tcW w:w="8039" w:type="dxa"/>
            <w:gridSpan w:val="5"/>
            <w:tcBorders>
              <w:top w:val="single" w:sz="4" w:space="0" w:color="000000"/>
              <w:left w:val="single" w:sz="4" w:space="0" w:color="000000"/>
              <w:bottom w:val="single" w:sz="4" w:space="0" w:color="000000"/>
              <w:right w:val="single" w:sz="4" w:space="0" w:color="000000"/>
            </w:tcBorders>
            <w:vAlign w:val="center"/>
          </w:tcPr>
          <w:p w14:paraId="693627DF" w14:textId="77777777" w:rsidR="006A7031" w:rsidRDefault="006A7031"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875" w:type="dxa"/>
            <w:tcBorders>
              <w:top w:val="single" w:sz="4" w:space="0" w:color="000000"/>
              <w:left w:val="single" w:sz="4" w:space="0" w:color="000000"/>
              <w:bottom w:val="single" w:sz="4" w:space="0" w:color="000000"/>
              <w:right w:val="single" w:sz="4" w:space="0" w:color="000000"/>
            </w:tcBorders>
          </w:tcPr>
          <w:p w14:paraId="5DA486ED" w14:textId="77777777" w:rsidR="006A7031" w:rsidRDefault="006A7031" w:rsidP="00003F50">
            <w:pPr>
              <w:widowControl w:val="0"/>
              <w:spacing w:line="240" w:lineRule="auto"/>
              <w:ind w:firstLine="566"/>
              <w:jc w:val="right"/>
              <w:rPr>
                <w:rFonts w:ascii="Times New Roman" w:eastAsia="Times New Roman" w:hAnsi="Times New Roman" w:cs="Times New Roman"/>
                <w:sz w:val="24"/>
                <w:szCs w:val="24"/>
              </w:rPr>
            </w:pPr>
          </w:p>
        </w:tc>
      </w:tr>
      <w:tr w:rsidR="006A7031" w14:paraId="0E577354" w14:textId="77777777" w:rsidTr="006A7031">
        <w:trPr>
          <w:trHeight w:val="260"/>
        </w:trPr>
        <w:tc>
          <w:tcPr>
            <w:tcW w:w="8039" w:type="dxa"/>
            <w:gridSpan w:val="5"/>
            <w:tcBorders>
              <w:top w:val="single" w:sz="4" w:space="0" w:color="000000"/>
              <w:left w:val="single" w:sz="4" w:space="0" w:color="000000"/>
              <w:bottom w:val="single" w:sz="4" w:space="0" w:color="000000"/>
              <w:right w:val="single" w:sz="4" w:space="0" w:color="000000"/>
            </w:tcBorders>
            <w:vAlign w:val="center"/>
          </w:tcPr>
          <w:p w14:paraId="24E1B75D" w14:textId="77777777" w:rsidR="006A7031" w:rsidRDefault="006A7031"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875" w:type="dxa"/>
            <w:tcBorders>
              <w:top w:val="single" w:sz="4" w:space="0" w:color="000000"/>
              <w:left w:val="single" w:sz="4" w:space="0" w:color="000000"/>
              <w:bottom w:val="single" w:sz="4" w:space="0" w:color="000000"/>
              <w:right w:val="single" w:sz="4" w:space="0" w:color="000000"/>
            </w:tcBorders>
          </w:tcPr>
          <w:p w14:paraId="02443950" w14:textId="77777777" w:rsidR="006A7031" w:rsidRDefault="006A7031" w:rsidP="00003F50">
            <w:pPr>
              <w:widowControl w:val="0"/>
              <w:spacing w:line="240" w:lineRule="auto"/>
              <w:ind w:firstLine="566"/>
              <w:jc w:val="right"/>
              <w:rPr>
                <w:rFonts w:ascii="Times New Roman" w:eastAsia="Times New Roman" w:hAnsi="Times New Roman" w:cs="Times New Roman"/>
                <w:sz w:val="24"/>
                <w:szCs w:val="24"/>
              </w:rPr>
            </w:pPr>
          </w:p>
        </w:tc>
      </w:tr>
    </w:tbl>
    <w:p w14:paraId="4BF01903" w14:textId="77777777" w:rsidR="006A4E54" w:rsidRDefault="006A4E54" w:rsidP="00003F50">
      <w:pPr>
        <w:spacing w:line="240" w:lineRule="auto"/>
        <w:ind w:firstLine="566"/>
        <w:rPr>
          <w:rFonts w:ascii="Times New Roman" w:eastAsia="Times New Roman" w:hAnsi="Times New Roman" w:cs="Times New Roman"/>
          <w:b/>
          <w:sz w:val="24"/>
          <w:szCs w:val="24"/>
        </w:rPr>
      </w:pPr>
    </w:p>
    <w:p w14:paraId="54FC5B1C" w14:textId="77777777" w:rsidR="00177BAF" w:rsidRPr="009E54F7" w:rsidRDefault="00177BAF" w:rsidP="00177BAF">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177BAF" w:rsidRPr="009E54F7" w14:paraId="7654CA45" w14:textId="77777777" w:rsidTr="00177BAF">
        <w:trPr>
          <w:trHeight w:val="3747"/>
        </w:trPr>
        <w:tc>
          <w:tcPr>
            <w:tcW w:w="4644" w:type="dxa"/>
            <w:shd w:val="clear" w:color="auto" w:fill="auto"/>
          </w:tcPr>
          <w:p w14:paraId="704024E6" w14:textId="77777777" w:rsidR="00177BAF" w:rsidRPr="009E54F7" w:rsidRDefault="00177BAF" w:rsidP="000A3CD8">
            <w:pPr>
              <w:spacing w:line="240" w:lineRule="auto"/>
              <w:rPr>
                <w:rFonts w:ascii="Times New Roman" w:hAnsi="Times New Roman"/>
                <w:sz w:val="24"/>
                <w:szCs w:val="24"/>
              </w:rPr>
            </w:pPr>
          </w:p>
        </w:tc>
        <w:tc>
          <w:tcPr>
            <w:tcW w:w="5203" w:type="dxa"/>
            <w:shd w:val="clear" w:color="auto" w:fill="auto"/>
          </w:tcPr>
          <w:p w14:paraId="0AB3BDF6"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Долинський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обласний</w:t>
            </w:r>
            <w:proofErr w:type="spellEnd"/>
            <w:r w:rsidRPr="004D676B">
              <w:rPr>
                <w:rFonts w:ascii="Times New Roman" w:eastAsia="Times New Roman" w:hAnsi="Times New Roman" w:cs="Times New Roman"/>
                <w:sz w:val="24"/>
                <w:szCs w:val="24"/>
                <w:lang w:val="ru-RU" w:eastAsia="ru-RU"/>
              </w:rPr>
              <w:t xml:space="preserve"> центр </w:t>
            </w:r>
            <w:proofErr w:type="spellStart"/>
            <w:proofErr w:type="gramStart"/>
            <w:r w:rsidRPr="004D676B">
              <w:rPr>
                <w:rFonts w:ascii="Times New Roman" w:eastAsia="Times New Roman" w:hAnsi="Times New Roman" w:cs="Times New Roman"/>
                <w:sz w:val="24"/>
                <w:szCs w:val="24"/>
                <w:lang w:val="ru-RU" w:eastAsia="ru-RU"/>
              </w:rPr>
              <w:t>соц</w:t>
            </w:r>
            <w:proofErr w:type="gramEnd"/>
            <w:r w:rsidRPr="004D676B">
              <w:rPr>
                <w:rFonts w:ascii="Times New Roman" w:eastAsia="Times New Roman" w:hAnsi="Times New Roman" w:cs="Times New Roman"/>
                <w:sz w:val="24"/>
                <w:szCs w:val="24"/>
                <w:lang w:val="ru-RU" w:eastAsia="ru-RU"/>
              </w:rPr>
              <w:t>іальної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підтримки</w:t>
            </w:r>
            <w:proofErr w:type="spellEnd"/>
          </w:p>
          <w:p w14:paraId="2C8B3918"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дітей</w:t>
            </w:r>
            <w:proofErr w:type="spellEnd"/>
            <w:r w:rsidRPr="004D676B">
              <w:rPr>
                <w:rFonts w:ascii="Times New Roman" w:eastAsia="Times New Roman" w:hAnsi="Times New Roman" w:cs="Times New Roman"/>
                <w:sz w:val="24"/>
                <w:szCs w:val="24"/>
                <w:lang w:val="ru-RU" w:eastAsia="ru-RU"/>
              </w:rPr>
              <w:t xml:space="preserve"> та </w:t>
            </w:r>
            <w:proofErr w:type="spellStart"/>
            <w:proofErr w:type="gramStart"/>
            <w:r w:rsidRPr="004D676B">
              <w:rPr>
                <w:rFonts w:ascii="Times New Roman" w:eastAsia="Times New Roman" w:hAnsi="Times New Roman" w:cs="Times New Roman"/>
                <w:sz w:val="24"/>
                <w:szCs w:val="24"/>
                <w:lang w:val="ru-RU" w:eastAsia="ru-RU"/>
              </w:rPr>
              <w:t>сімей</w:t>
            </w:r>
            <w:proofErr w:type="spellEnd"/>
            <w:proofErr w:type="gram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Теплий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дім</w:t>
            </w:r>
            <w:proofErr w:type="spellEnd"/>
            <w:r w:rsidRPr="004D676B">
              <w:rPr>
                <w:rFonts w:ascii="Times New Roman" w:eastAsia="Times New Roman" w:hAnsi="Times New Roman" w:cs="Times New Roman"/>
                <w:sz w:val="24"/>
                <w:szCs w:val="24"/>
                <w:lang w:val="ru-RU" w:eastAsia="ru-RU"/>
              </w:rPr>
              <w:t>»</w:t>
            </w:r>
          </w:p>
          <w:p w14:paraId="741A266E"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обласної</w:t>
            </w:r>
            <w:proofErr w:type="spellEnd"/>
            <w:r w:rsidRPr="004D676B">
              <w:rPr>
                <w:rFonts w:ascii="Times New Roman" w:eastAsia="Times New Roman" w:hAnsi="Times New Roman" w:cs="Times New Roman"/>
                <w:sz w:val="24"/>
                <w:szCs w:val="24"/>
                <w:lang w:val="ru-RU" w:eastAsia="ru-RU"/>
              </w:rPr>
              <w:t xml:space="preserve"> ради</w:t>
            </w:r>
          </w:p>
          <w:p w14:paraId="2A414C90"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Код ЄДРПОУ 43678123</w:t>
            </w:r>
          </w:p>
          <w:p w14:paraId="2622FADE"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Юридична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 </w:t>
            </w:r>
          </w:p>
          <w:p w14:paraId="26FEE639"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proofErr w:type="gramStart"/>
            <w:r w:rsidRPr="004D676B">
              <w:rPr>
                <w:rFonts w:ascii="Times New Roman" w:eastAsia="Times New Roman" w:hAnsi="Times New Roman" w:cs="Times New Roman"/>
                <w:sz w:val="24"/>
                <w:szCs w:val="24"/>
                <w:lang w:val="ru-RU" w:eastAsia="ru-RU"/>
              </w:rPr>
              <w:t>м</w:t>
            </w:r>
            <w:proofErr w:type="gramEnd"/>
            <w:r w:rsidRPr="004D676B">
              <w:rPr>
                <w:rFonts w:ascii="Times New Roman" w:eastAsia="Times New Roman" w:hAnsi="Times New Roman" w:cs="Times New Roman"/>
                <w:sz w:val="24"/>
                <w:szCs w:val="24"/>
                <w:lang w:val="ru-RU" w:eastAsia="ru-RU"/>
              </w:rPr>
              <w:t>істо</w:t>
            </w:r>
            <w:proofErr w:type="spellEnd"/>
            <w:r w:rsidRPr="004D676B">
              <w:rPr>
                <w:rFonts w:ascii="Times New Roman" w:eastAsia="Times New Roman" w:hAnsi="Times New Roman" w:cs="Times New Roman"/>
                <w:sz w:val="24"/>
                <w:szCs w:val="24"/>
                <w:lang w:val="ru-RU" w:eastAsia="ru-RU"/>
              </w:rPr>
              <w:t xml:space="preserve"> Долина,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Івасюка</w:t>
            </w:r>
            <w:proofErr w:type="spellEnd"/>
            <w:r w:rsidRPr="004D676B">
              <w:rPr>
                <w:rFonts w:ascii="Times New Roman" w:eastAsia="Times New Roman" w:hAnsi="Times New Roman" w:cs="Times New Roman"/>
                <w:sz w:val="24"/>
                <w:szCs w:val="24"/>
                <w:lang w:val="ru-RU" w:eastAsia="ru-RU"/>
              </w:rPr>
              <w:t xml:space="preserve">, буд. 16 </w:t>
            </w:r>
          </w:p>
          <w:p w14:paraId="2D538904" w14:textId="77777777" w:rsidR="00CE3BD9" w:rsidRDefault="00CE3BD9" w:rsidP="00CE3BD9">
            <w:pPr>
              <w:spacing w:line="240" w:lineRule="auto"/>
              <w:outlineLvl w:val="0"/>
              <w:rPr>
                <w:rFonts w:ascii="Times New Roman" w:eastAsia="Times New Roman" w:hAnsi="Times New Roman" w:cs="Times New Roman"/>
                <w:sz w:val="24"/>
                <w:szCs w:val="24"/>
                <w:lang w:val="en-US" w:eastAsia="ru-RU"/>
              </w:rPr>
            </w:pPr>
            <w:proofErr w:type="spellStart"/>
            <w:r w:rsidRPr="004D676B">
              <w:rPr>
                <w:rFonts w:ascii="Times New Roman" w:eastAsia="Times New Roman" w:hAnsi="Times New Roman" w:cs="Times New Roman"/>
                <w:sz w:val="24"/>
                <w:szCs w:val="24"/>
                <w:lang w:val="ru-RU" w:eastAsia="ru-RU"/>
              </w:rPr>
              <w:t>Поштова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xml:space="preserve">. Івасюка,16, </w:t>
            </w:r>
          </w:p>
          <w:p w14:paraId="1BD2EECD" w14:textId="78BC2183"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м. Долина,</w:t>
            </w:r>
          </w:p>
          <w:p w14:paraId="061FFD00"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w:t>
            </w:r>
          </w:p>
          <w:p w14:paraId="1439AA44"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Рахунок</w:t>
            </w:r>
            <w:proofErr w:type="spellEnd"/>
            <w:r w:rsidRPr="004D676B">
              <w:rPr>
                <w:rFonts w:ascii="Times New Roman" w:eastAsia="Times New Roman" w:hAnsi="Times New Roman" w:cs="Times New Roman"/>
                <w:sz w:val="24"/>
                <w:szCs w:val="24"/>
                <w:lang w:val="ru-RU" w:eastAsia="ru-RU"/>
              </w:rPr>
              <w:t>: UA128201720344280003000161295</w:t>
            </w:r>
          </w:p>
          <w:p w14:paraId="0345AE33"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МФО 820172</w:t>
            </w:r>
          </w:p>
          <w:p w14:paraId="2338968C" w14:textId="77777777" w:rsidR="00CE3BD9" w:rsidRPr="004D676B" w:rsidRDefault="00CE3BD9" w:rsidP="00CE3BD9">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тел.: (03477)20370</w:t>
            </w:r>
          </w:p>
          <w:p w14:paraId="4CF43F4B" w14:textId="77777777" w:rsidR="00CE3BD9" w:rsidRPr="004D676B" w:rsidRDefault="00CE3BD9" w:rsidP="00CE3BD9">
            <w:pPr>
              <w:spacing w:line="240" w:lineRule="auto"/>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Електронна</w:t>
            </w:r>
            <w:proofErr w:type="spellEnd"/>
            <w:r w:rsidRPr="004D676B">
              <w:rPr>
                <w:rFonts w:ascii="Times New Roman" w:eastAsia="Times New Roman" w:hAnsi="Times New Roman" w:cs="Times New Roman"/>
                <w:sz w:val="24"/>
                <w:szCs w:val="24"/>
                <w:lang w:val="ru-RU" w:eastAsia="ru-RU"/>
              </w:rPr>
              <w:t xml:space="preserve"> адреса (e-</w:t>
            </w:r>
            <w:proofErr w:type="spellStart"/>
            <w:r w:rsidRPr="004D676B">
              <w:rPr>
                <w:rFonts w:ascii="Times New Roman" w:eastAsia="Times New Roman" w:hAnsi="Times New Roman" w:cs="Times New Roman"/>
                <w:sz w:val="24"/>
                <w:szCs w:val="24"/>
                <w:lang w:val="ru-RU" w:eastAsia="ru-RU"/>
              </w:rPr>
              <w:t>mail</w:t>
            </w:r>
            <w:proofErr w:type="spellEnd"/>
            <w:r w:rsidRPr="004D676B">
              <w:rPr>
                <w:rFonts w:ascii="Times New Roman" w:eastAsia="Times New Roman" w:hAnsi="Times New Roman" w:cs="Times New Roman"/>
                <w:sz w:val="24"/>
                <w:szCs w:val="24"/>
                <w:lang w:val="ru-RU" w:eastAsia="ru-RU"/>
              </w:rPr>
              <w:t>): centr_spds@ukr.net</w:t>
            </w:r>
          </w:p>
          <w:p w14:paraId="512D0732" w14:textId="77777777" w:rsidR="00CE3BD9" w:rsidRPr="004D676B" w:rsidRDefault="00CE3BD9" w:rsidP="00CE3BD9">
            <w:pPr>
              <w:spacing w:line="240" w:lineRule="auto"/>
              <w:rPr>
                <w:rFonts w:ascii="Times New Roman" w:eastAsia="Times New Roman" w:hAnsi="Times New Roman" w:cs="Times New Roman"/>
                <w:sz w:val="24"/>
                <w:szCs w:val="24"/>
                <w:lang w:val="ru-RU" w:eastAsia="ru-RU"/>
              </w:rPr>
            </w:pPr>
          </w:p>
          <w:p w14:paraId="4779F908" w14:textId="77777777" w:rsidR="00CE3BD9" w:rsidRPr="004D676B" w:rsidRDefault="00CE3BD9" w:rsidP="00CE3BD9">
            <w:pPr>
              <w:snapToGrid w:val="0"/>
              <w:spacing w:line="240" w:lineRule="auto"/>
              <w:ind w:right="-54"/>
              <w:jc w:val="both"/>
              <w:rPr>
                <w:rFonts w:ascii="Times New Roman" w:eastAsia="Times New Roman" w:hAnsi="Times New Roman" w:cs="Times New Roman"/>
                <w:b/>
                <w:sz w:val="21"/>
                <w:szCs w:val="21"/>
                <w:lang w:val="uk-UA"/>
              </w:rPr>
            </w:pPr>
            <w:r w:rsidRPr="004D676B">
              <w:rPr>
                <w:rFonts w:ascii="Times New Roman" w:eastAsia="Times New Roman" w:hAnsi="Times New Roman" w:cs="Times New Roman"/>
                <w:sz w:val="24"/>
                <w:szCs w:val="24"/>
                <w:lang w:val="ru-RU" w:eastAsia="ru-RU"/>
              </w:rPr>
              <w:t xml:space="preserve">________________________ </w:t>
            </w:r>
            <w:r w:rsidRPr="004D676B">
              <w:rPr>
                <w:rFonts w:ascii="Times New Roman" w:eastAsia="Times New Roman" w:hAnsi="Times New Roman" w:cs="Times New Roman"/>
                <w:sz w:val="24"/>
                <w:szCs w:val="24"/>
                <w:lang w:val="uk-UA" w:eastAsia="ru-RU"/>
              </w:rPr>
              <w:t>Н</w:t>
            </w:r>
            <w:r w:rsidRPr="004D676B">
              <w:rPr>
                <w:rFonts w:ascii="Times New Roman" w:eastAsia="Times New Roman" w:hAnsi="Times New Roman" w:cs="Times New Roman"/>
                <w:sz w:val="24"/>
                <w:szCs w:val="24"/>
                <w:lang w:val="ru-RU" w:eastAsia="ru-RU"/>
              </w:rPr>
              <w:t xml:space="preserve">. </w:t>
            </w:r>
            <w:r w:rsidRPr="004D676B">
              <w:rPr>
                <w:rFonts w:ascii="Times New Roman" w:eastAsia="Times New Roman" w:hAnsi="Times New Roman" w:cs="Times New Roman"/>
                <w:sz w:val="24"/>
                <w:szCs w:val="24"/>
                <w:lang w:val="uk-UA" w:eastAsia="ru-RU"/>
              </w:rPr>
              <w:t>КУЦАЛАБА</w:t>
            </w:r>
          </w:p>
          <w:p w14:paraId="62B5DFBA" w14:textId="3F3C6321" w:rsidR="00177BAF" w:rsidRPr="009E54F7" w:rsidRDefault="00177BAF" w:rsidP="000A3CD8">
            <w:pPr>
              <w:pStyle w:val="2"/>
              <w:spacing w:before="0" w:after="0"/>
              <w:ind w:left="176"/>
              <w:jc w:val="both"/>
              <w:rPr>
                <w:rFonts w:ascii="Times New Roman" w:hAnsi="Times New Roman"/>
                <w:i/>
                <w:iCs/>
                <w:sz w:val="24"/>
                <w:szCs w:val="24"/>
              </w:rPr>
            </w:pPr>
          </w:p>
        </w:tc>
      </w:tr>
    </w:tbl>
    <w:p w14:paraId="2DE0A1E4" w14:textId="77777777" w:rsidR="00177BAF" w:rsidRPr="00177BAF" w:rsidRDefault="00177BAF" w:rsidP="00177BAF">
      <w:pPr>
        <w:spacing w:line="240" w:lineRule="auto"/>
        <w:ind w:right="140"/>
        <w:jc w:val="both"/>
        <w:rPr>
          <w:rFonts w:ascii="Times New Roman" w:eastAsia="Times New Roman" w:hAnsi="Times New Roman" w:cs="Times New Roman"/>
          <w:sz w:val="24"/>
          <w:szCs w:val="24"/>
        </w:rPr>
      </w:pPr>
    </w:p>
    <w:sectPr w:rsidR="00177BAF" w:rsidRPr="00177BAF" w:rsidSect="00520F9E">
      <w:pgSz w:w="11909" w:h="16834"/>
      <w:pgMar w:top="992" w:right="567" w:bottom="993" w:left="147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19B"/>
    <w:multiLevelType w:val="multilevel"/>
    <w:tmpl w:val="FBFC86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0A07F6"/>
    <w:multiLevelType w:val="multilevel"/>
    <w:tmpl w:val="3FBC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54"/>
    <w:rsid w:val="00003F50"/>
    <w:rsid w:val="00036612"/>
    <w:rsid w:val="00037448"/>
    <w:rsid w:val="000E3213"/>
    <w:rsid w:val="001237FA"/>
    <w:rsid w:val="0013446D"/>
    <w:rsid w:val="00177BAF"/>
    <w:rsid w:val="00223E61"/>
    <w:rsid w:val="002325F0"/>
    <w:rsid w:val="00246D76"/>
    <w:rsid w:val="002661DA"/>
    <w:rsid w:val="00286E4A"/>
    <w:rsid w:val="002975F7"/>
    <w:rsid w:val="002B15AD"/>
    <w:rsid w:val="002D3E7D"/>
    <w:rsid w:val="002E0787"/>
    <w:rsid w:val="00354D2E"/>
    <w:rsid w:val="003B529C"/>
    <w:rsid w:val="004C71A3"/>
    <w:rsid w:val="005048F0"/>
    <w:rsid w:val="00514926"/>
    <w:rsid w:val="00520F9E"/>
    <w:rsid w:val="0052788A"/>
    <w:rsid w:val="00576081"/>
    <w:rsid w:val="00580FD0"/>
    <w:rsid w:val="00590E19"/>
    <w:rsid w:val="00593F88"/>
    <w:rsid w:val="00594D29"/>
    <w:rsid w:val="005A7A32"/>
    <w:rsid w:val="005B74FA"/>
    <w:rsid w:val="0064663B"/>
    <w:rsid w:val="00677978"/>
    <w:rsid w:val="006A4E54"/>
    <w:rsid w:val="006A7031"/>
    <w:rsid w:val="006F0FB6"/>
    <w:rsid w:val="0073495C"/>
    <w:rsid w:val="0082113B"/>
    <w:rsid w:val="0085178C"/>
    <w:rsid w:val="00911BC1"/>
    <w:rsid w:val="009475B7"/>
    <w:rsid w:val="009A44E4"/>
    <w:rsid w:val="009E54F7"/>
    <w:rsid w:val="00A42BC1"/>
    <w:rsid w:val="00A97C76"/>
    <w:rsid w:val="00AB04C5"/>
    <w:rsid w:val="00AD0B4F"/>
    <w:rsid w:val="00B17C0A"/>
    <w:rsid w:val="00B82124"/>
    <w:rsid w:val="00B90C0D"/>
    <w:rsid w:val="00B92116"/>
    <w:rsid w:val="00C12646"/>
    <w:rsid w:val="00C44E9B"/>
    <w:rsid w:val="00CC0BEB"/>
    <w:rsid w:val="00CE3BD9"/>
    <w:rsid w:val="00D443A0"/>
    <w:rsid w:val="00D60EC0"/>
    <w:rsid w:val="00DA6090"/>
    <w:rsid w:val="00DD3E3D"/>
    <w:rsid w:val="00DF02EB"/>
    <w:rsid w:val="00E67014"/>
    <w:rsid w:val="00F02CF9"/>
    <w:rsid w:val="00F25F08"/>
    <w:rsid w:val="00F93564"/>
    <w:rsid w:val="00FA2E71"/>
    <w:rsid w:val="00FD33C6"/>
    <w:rsid w:val="00FF5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ітки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ітки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911BC1"/>
    <w:pPr>
      <w:spacing w:line="240" w:lineRule="auto"/>
    </w:pPr>
    <w:rPr>
      <w:rFonts w:ascii="Tahoma" w:hAnsi="Tahoma" w:cs="Tahoma"/>
      <w:sz w:val="16"/>
      <w:szCs w:val="16"/>
    </w:rPr>
  </w:style>
  <w:style w:type="character" w:customStyle="1" w:styleId="afff9">
    <w:name w:val="Текст у виносці Знак"/>
    <w:basedOn w:val="a0"/>
    <w:link w:val="afff8"/>
    <w:uiPriority w:val="99"/>
    <w:semiHidden/>
    <w:rsid w:val="00911BC1"/>
    <w:rPr>
      <w:rFonts w:ascii="Tahoma" w:hAnsi="Tahoma" w:cs="Tahoma"/>
      <w:sz w:val="16"/>
      <w:szCs w:val="16"/>
    </w:rPr>
  </w:style>
  <w:style w:type="paragraph" w:styleId="afffa">
    <w:name w:val="Body Text Indent"/>
    <w:basedOn w:val="a"/>
    <w:link w:val="afffb"/>
    <w:rsid w:val="00CC0BEB"/>
    <w:pPr>
      <w:spacing w:after="120" w:line="240" w:lineRule="auto"/>
      <w:ind w:left="283"/>
    </w:pPr>
    <w:rPr>
      <w:rFonts w:ascii="Times New Roman" w:eastAsia="Times New Roman" w:hAnsi="Times New Roman" w:cs="Times New Roman"/>
      <w:sz w:val="20"/>
      <w:szCs w:val="20"/>
      <w:lang w:val="en-AU" w:eastAsia="ru-RU"/>
    </w:rPr>
  </w:style>
  <w:style w:type="character" w:customStyle="1" w:styleId="afffb">
    <w:name w:val="Основний текст з відступом Знак"/>
    <w:basedOn w:val="a0"/>
    <w:link w:val="afffa"/>
    <w:rsid w:val="00CC0BEB"/>
    <w:rPr>
      <w:rFonts w:ascii="Times New Roman" w:eastAsia="Times New Roman" w:hAnsi="Times New Roman" w:cs="Times New Roman"/>
      <w:sz w:val="20"/>
      <w:szCs w:val="20"/>
      <w:lang w:val="en-AU" w:eastAsia="ru-RU"/>
    </w:rPr>
  </w:style>
  <w:style w:type="character" w:customStyle="1" w:styleId="10">
    <w:name w:val="Заголовок 1 Знак"/>
    <w:link w:val="1"/>
    <w:uiPriority w:val="99"/>
    <w:locked/>
    <w:rsid w:val="009E54F7"/>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ітки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ітки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911BC1"/>
    <w:pPr>
      <w:spacing w:line="240" w:lineRule="auto"/>
    </w:pPr>
    <w:rPr>
      <w:rFonts w:ascii="Tahoma" w:hAnsi="Tahoma" w:cs="Tahoma"/>
      <w:sz w:val="16"/>
      <w:szCs w:val="16"/>
    </w:rPr>
  </w:style>
  <w:style w:type="character" w:customStyle="1" w:styleId="afff9">
    <w:name w:val="Текст у виносці Знак"/>
    <w:basedOn w:val="a0"/>
    <w:link w:val="afff8"/>
    <w:uiPriority w:val="99"/>
    <w:semiHidden/>
    <w:rsid w:val="00911BC1"/>
    <w:rPr>
      <w:rFonts w:ascii="Tahoma" w:hAnsi="Tahoma" w:cs="Tahoma"/>
      <w:sz w:val="16"/>
      <w:szCs w:val="16"/>
    </w:rPr>
  </w:style>
  <w:style w:type="paragraph" w:styleId="afffa">
    <w:name w:val="Body Text Indent"/>
    <w:basedOn w:val="a"/>
    <w:link w:val="afffb"/>
    <w:rsid w:val="00CC0BEB"/>
    <w:pPr>
      <w:spacing w:after="120" w:line="240" w:lineRule="auto"/>
      <w:ind w:left="283"/>
    </w:pPr>
    <w:rPr>
      <w:rFonts w:ascii="Times New Roman" w:eastAsia="Times New Roman" w:hAnsi="Times New Roman" w:cs="Times New Roman"/>
      <w:sz w:val="20"/>
      <w:szCs w:val="20"/>
      <w:lang w:val="en-AU" w:eastAsia="ru-RU"/>
    </w:rPr>
  </w:style>
  <w:style w:type="character" w:customStyle="1" w:styleId="afffb">
    <w:name w:val="Основний текст з відступом Знак"/>
    <w:basedOn w:val="a0"/>
    <w:link w:val="afffa"/>
    <w:rsid w:val="00CC0BEB"/>
    <w:rPr>
      <w:rFonts w:ascii="Times New Roman" w:eastAsia="Times New Roman" w:hAnsi="Times New Roman" w:cs="Times New Roman"/>
      <w:sz w:val="20"/>
      <w:szCs w:val="20"/>
      <w:lang w:val="en-AU" w:eastAsia="ru-RU"/>
    </w:rPr>
  </w:style>
  <w:style w:type="character" w:customStyle="1" w:styleId="10">
    <w:name w:val="Заголовок 1 Знак"/>
    <w:link w:val="1"/>
    <w:uiPriority w:val="99"/>
    <w:locked/>
    <w:rsid w:val="009E54F7"/>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1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A5D67A-D6F2-46CE-8B71-E2668DFA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20478</Words>
  <Characters>11673</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4</cp:revision>
  <cp:lastPrinted>2023-11-29T08:36:00Z</cp:lastPrinted>
  <dcterms:created xsi:type="dcterms:W3CDTF">2023-12-14T18:22:00Z</dcterms:created>
  <dcterms:modified xsi:type="dcterms:W3CDTF">2024-01-16T15:29:00Z</dcterms:modified>
</cp:coreProperties>
</file>