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B87FB1">
        <w:rPr>
          <w:b w:val="0"/>
          <w:sz w:val="24"/>
          <w:szCs w:val="24"/>
        </w:rPr>
        <w:t>4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582101">
        <w:rPr>
          <w:i/>
          <w:sz w:val="24"/>
          <w:szCs w:val="24"/>
          <w:lang w:val="uk-UA"/>
        </w:rPr>
        <w:t>155</w:t>
      </w:r>
      <w:r w:rsidR="003E7E62">
        <w:rPr>
          <w:i/>
          <w:sz w:val="24"/>
          <w:szCs w:val="24"/>
          <w:lang w:val="uk-UA"/>
        </w:rPr>
        <w:t>40000-5(Сирні продукти)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3E7E62">
        <w:rPr>
          <w:b/>
          <w:i/>
          <w:sz w:val="24"/>
          <w:szCs w:val="24"/>
          <w:lang w:val="uk-UA"/>
        </w:rPr>
        <w:t>Сир плавлений,сир кисломолочний,сир ковбасний,сир твердий.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B87FB1">
        <w:rPr>
          <w:b/>
          <w:sz w:val="24"/>
          <w:szCs w:val="24"/>
          <w:lang w:val="uk-UA"/>
        </w:rPr>
        <w:t>4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6660EA">
        <w:rPr>
          <w:sz w:val="28"/>
          <w:szCs w:val="28"/>
          <w:lang w:val="uk-UA"/>
        </w:rPr>
        <w:t>3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плавлений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3E7E62">
              <w:rPr>
                <w:sz w:val="24"/>
                <w:szCs w:val="24"/>
                <w:lang w:val="uk-UA"/>
              </w:rPr>
              <w:t>4</w:t>
            </w:r>
            <w:r w:rsidR="00B87F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8A23DA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кисломолочний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3E7E62">
              <w:rPr>
                <w:sz w:val="24"/>
                <w:szCs w:val="24"/>
                <w:lang w:val="uk-UA"/>
              </w:rPr>
              <w:t>4</w:t>
            </w:r>
            <w:r w:rsidR="00B87FB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E7E62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ковбасний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24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E7E62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C351E"/>
    <w:rsid w:val="001174D3"/>
    <w:rsid w:val="00146358"/>
    <w:rsid w:val="00185FE8"/>
    <w:rsid w:val="001A137A"/>
    <w:rsid w:val="001A39FC"/>
    <w:rsid w:val="002D7E95"/>
    <w:rsid w:val="00305D30"/>
    <w:rsid w:val="003A7033"/>
    <w:rsid w:val="003B57CB"/>
    <w:rsid w:val="003E7E62"/>
    <w:rsid w:val="00471CBE"/>
    <w:rsid w:val="004E5804"/>
    <w:rsid w:val="00582101"/>
    <w:rsid w:val="005B2793"/>
    <w:rsid w:val="006660EA"/>
    <w:rsid w:val="006E407C"/>
    <w:rsid w:val="007B4F17"/>
    <w:rsid w:val="008A23DA"/>
    <w:rsid w:val="008E4198"/>
    <w:rsid w:val="00B04C0E"/>
    <w:rsid w:val="00B87FB1"/>
    <w:rsid w:val="00C91D07"/>
    <w:rsid w:val="00EA496B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6835</Words>
  <Characters>3897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3</cp:revision>
  <cp:lastPrinted>2017-02-17T11:34:00Z</cp:lastPrinted>
  <dcterms:created xsi:type="dcterms:W3CDTF">2024-01-02T08:41:00Z</dcterms:created>
  <dcterms:modified xsi:type="dcterms:W3CDTF">2024-01-02T08:48:00Z</dcterms:modified>
</cp:coreProperties>
</file>