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498F47D6" w:rsidR="00904A5A" w:rsidRPr="00877BF7" w:rsidRDefault="004964D5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19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10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 w:rsidRPr="0028277E">
        <w:rPr>
          <w:rFonts w:ascii="Times New Roman" w:eastAsia="Arial" w:hAnsi="Times New Roman" w:cs="Times New Roman"/>
          <w:bCs/>
          <w:sz w:val="24"/>
          <w:szCs w:val="24"/>
          <w:lang w:val="ru-RU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19</w:t>
      </w:r>
      <w:r w:rsidR="00E140DC" w:rsidRPr="0028277E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C06A3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F064944" w14:textId="0C055BDE" w:rsidR="00846688" w:rsidRPr="0028277E" w:rsidRDefault="00904A5A" w:rsidP="004964D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36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8277E" w:rsidRPr="0028277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Сир </w:t>
      </w:r>
      <w:proofErr w:type="spellStart"/>
      <w:r w:rsidR="0028277E" w:rsidRPr="0028277E">
        <w:rPr>
          <w:rFonts w:ascii="Times New Roman" w:eastAsia="SimSun" w:hAnsi="Times New Roman" w:cs="Times New Roman"/>
          <w:sz w:val="24"/>
          <w:szCs w:val="24"/>
          <w:lang w:val="ru-RU"/>
        </w:rPr>
        <w:t>твердий</w:t>
      </w:r>
      <w:proofErr w:type="spellEnd"/>
      <w:r w:rsidR="004964D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28277E" w:rsidRPr="0028277E">
        <w:rPr>
          <w:rFonts w:ascii="Times New Roman" w:eastAsia="SimSun" w:hAnsi="Times New Roman" w:cs="Times New Roman"/>
          <w:sz w:val="24"/>
          <w:szCs w:val="24"/>
          <w:lang w:val="ru-RU"/>
        </w:rPr>
        <w:t>код ДК</w:t>
      </w:r>
      <w:r w:rsidR="004964D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8277E" w:rsidRPr="0028277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021:2015 – 15540000-5 </w:t>
      </w:r>
      <w:proofErr w:type="spellStart"/>
      <w:r w:rsidR="0028277E" w:rsidRPr="0028277E">
        <w:rPr>
          <w:rFonts w:ascii="Times New Roman" w:eastAsia="SimSun" w:hAnsi="Times New Roman" w:cs="Times New Roman"/>
          <w:sz w:val="24"/>
          <w:szCs w:val="24"/>
          <w:lang w:val="ru-RU"/>
        </w:rPr>
        <w:t>Сирні</w:t>
      </w:r>
      <w:proofErr w:type="spellEnd"/>
      <w:r w:rsidR="0028277E" w:rsidRPr="0028277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277E" w:rsidRPr="0028277E">
        <w:rPr>
          <w:rFonts w:ascii="Times New Roman" w:eastAsia="SimSun" w:hAnsi="Times New Roman" w:cs="Times New Roman"/>
          <w:sz w:val="24"/>
          <w:szCs w:val="24"/>
          <w:lang w:val="ru-RU"/>
        </w:rPr>
        <w:t>продукти</w:t>
      </w:r>
      <w:proofErr w:type="spellEnd"/>
      <w:r w:rsidR="00877BF7" w:rsidRPr="0028277E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277E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28277E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28277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8277E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28277E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3DAF741D" w:rsidR="00904A5A" w:rsidRPr="00846688" w:rsidRDefault="00904A5A" w:rsidP="0084668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36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4668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46688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4668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46688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46688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46688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46688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2B27D102" w14:textId="35217AD9" w:rsidR="00D86E36" w:rsidRPr="00877BF7" w:rsidRDefault="00D86E36" w:rsidP="0028277E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="0028277E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7403E395" w:rsidR="00D86E36" w:rsidRPr="00A61B59" w:rsidRDefault="00904A5A" w:rsidP="0028277E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UA"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277E" w:rsidRPr="0028277E">
        <w:rPr>
          <w:rFonts w:ascii="Times New Roman" w:eastAsiaTheme="minorHAnsi" w:hAnsi="Times New Roman" w:cs="Times New Roman"/>
          <w:b/>
          <w:sz w:val="24"/>
          <w:szCs w:val="24"/>
          <w:lang w:val="ru-UA" w:eastAsia="en-US"/>
        </w:rPr>
        <w:t>Сир твердий</w:t>
      </w:r>
      <w:r w:rsidR="004964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28277E" w:rsidRPr="0028277E">
        <w:rPr>
          <w:rFonts w:ascii="Times New Roman" w:eastAsiaTheme="minorHAnsi" w:hAnsi="Times New Roman" w:cs="Times New Roman"/>
          <w:b/>
          <w:sz w:val="24"/>
          <w:szCs w:val="24"/>
          <w:lang w:val="ru-UA" w:eastAsia="en-US"/>
        </w:rPr>
        <w:t>код ДК 021:2015 – 15540000-5 Сирні продукти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6885DE3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8277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96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500 кг. 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6AD456D0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4964D5">
        <w:rPr>
          <w:color w:val="000000"/>
        </w:rPr>
        <w:t>737 000,00 грн з ПДВ.</w:t>
      </w:r>
      <w:r w:rsidR="002232D1" w:rsidRPr="00877BF7">
        <w:rPr>
          <w:color w:val="000000"/>
        </w:rPr>
        <w:t xml:space="preserve"> </w:t>
      </w:r>
    </w:p>
    <w:p w14:paraId="7C9DA6F2" w14:textId="7341C3B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D05BE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39CFB0ED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4964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27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4964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3BA3FD2A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4964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27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4964D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10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</w:p>
    <w:p w14:paraId="1813A66B" w14:textId="6E44CEC4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 час 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3A73C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0,5 %. 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 w:rsidSect="004964D5">
      <w:pgSz w:w="11906" w:h="16838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232D1"/>
    <w:rsid w:val="0028277E"/>
    <w:rsid w:val="002B064B"/>
    <w:rsid w:val="003A73CD"/>
    <w:rsid w:val="004964D5"/>
    <w:rsid w:val="004A6182"/>
    <w:rsid w:val="006C3708"/>
    <w:rsid w:val="00700BB3"/>
    <w:rsid w:val="00844218"/>
    <w:rsid w:val="00846688"/>
    <w:rsid w:val="00854E04"/>
    <w:rsid w:val="00877BF7"/>
    <w:rsid w:val="008E58B8"/>
    <w:rsid w:val="00904A5A"/>
    <w:rsid w:val="009802E7"/>
    <w:rsid w:val="00A61B59"/>
    <w:rsid w:val="00A72CE9"/>
    <w:rsid w:val="00C06A35"/>
    <w:rsid w:val="00D05BEE"/>
    <w:rsid w:val="00D86E36"/>
    <w:rsid w:val="00DC3101"/>
    <w:rsid w:val="00E07ADD"/>
    <w:rsid w:val="00E140DC"/>
    <w:rsid w:val="00E824B0"/>
    <w:rsid w:val="00EC4365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2023-10-19T13:11:00Z</dcterms:created>
  <dcterms:modified xsi:type="dcterms:W3CDTF">2023-10-19T13:11:00Z</dcterms:modified>
</cp:coreProperties>
</file>