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97056B" w:rsidP="00615440">
      <w:pPr>
        <w:pStyle w:val="a9"/>
        <w:spacing w:before="0" w:beforeAutospacing="0" w:after="0" w:afterAutospacing="0"/>
        <w:jc w:val="center"/>
        <w:rPr>
          <w:b/>
          <w:sz w:val="44"/>
          <w:szCs w:val="44"/>
        </w:rPr>
      </w:pPr>
      <w:r>
        <w:rPr>
          <w:b/>
          <w:sz w:val="44"/>
          <w:szCs w:val="44"/>
        </w:rPr>
        <w:t xml:space="preserve">              </w:t>
      </w:r>
      <w:r w:rsidR="00615440"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w:t>
      </w:r>
      <w:r w:rsidRPr="000B72BE">
        <w:rPr>
          <w:rFonts w:ascii="Times New Roman" w:hAnsi="Times New Roman" w:cs="Times New Roman"/>
          <w:bCs/>
          <w:spacing w:val="-1"/>
          <w:sz w:val="24"/>
          <w:szCs w:val="24"/>
        </w:rPr>
        <w:t xml:space="preserve">від </w:t>
      </w:r>
      <w:r w:rsidR="004B5FC8">
        <w:rPr>
          <w:rFonts w:ascii="Times New Roman" w:hAnsi="Times New Roman" w:cs="Times New Roman"/>
          <w:bCs/>
          <w:spacing w:val="-1"/>
          <w:sz w:val="24"/>
          <w:szCs w:val="24"/>
          <w:lang w:val="en-US"/>
        </w:rPr>
        <w:t>15</w:t>
      </w:r>
      <w:r w:rsidR="009654B0">
        <w:rPr>
          <w:rFonts w:ascii="Times New Roman" w:hAnsi="Times New Roman" w:cs="Times New Roman"/>
          <w:bCs/>
          <w:spacing w:val="-1"/>
          <w:sz w:val="24"/>
          <w:szCs w:val="24"/>
          <w:lang w:val="en-US"/>
        </w:rPr>
        <w:t>.</w:t>
      </w:r>
      <w:r w:rsidR="00081B2F">
        <w:rPr>
          <w:rFonts w:ascii="Times New Roman" w:hAnsi="Times New Roman" w:cs="Times New Roman"/>
          <w:bCs/>
          <w:spacing w:val="-1"/>
          <w:sz w:val="24"/>
          <w:szCs w:val="24"/>
          <w:lang w:val="en-US"/>
        </w:rPr>
        <w:t>0</w:t>
      </w:r>
      <w:r w:rsidR="00B80E4B">
        <w:rPr>
          <w:rFonts w:ascii="Times New Roman" w:hAnsi="Times New Roman" w:cs="Times New Roman"/>
          <w:bCs/>
          <w:spacing w:val="-1"/>
          <w:sz w:val="24"/>
          <w:szCs w:val="24"/>
          <w:lang w:val="en-US"/>
        </w:rPr>
        <w:t>1.202</w:t>
      </w:r>
      <w:r w:rsidR="00B80E4B">
        <w:rPr>
          <w:rFonts w:ascii="Times New Roman" w:hAnsi="Times New Roman" w:cs="Times New Roman"/>
          <w:bCs/>
          <w:spacing w:val="-1"/>
          <w:sz w:val="24"/>
          <w:szCs w:val="24"/>
        </w:rPr>
        <w:t>4</w:t>
      </w:r>
      <w:r w:rsidR="00C31E7A" w:rsidRPr="000B72BE">
        <w:rPr>
          <w:rFonts w:ascii="Times New Roman" w:hAnsi="Times New Roman" w:cs="Times New Roman"/>
          <w:bCs/>
          <w:spacing w:val="-1"/>
          <w:sz w:val="24"/>
          <w:szCs w:val="24"/>
        </w:rPr>
        <w:t>, протокол №</w:t>
      </w:r>
      <w:r w:rsidR="000B72BE" w:rsidRPr="000B72BE">
        <w:rPr>
          <w:rFonts w:ascii="Times New Roman" w:hAnsi="Times New Roman" w:cs="Times New Roman"/>
          <w:bCs/>
          <w:spacing w:val="-1"/>
          <w:sz w:val="24"/>
          <w:szCs w:val="24"/>
          <w:lang w:val="ru-RU"/>
        </w:rPr>
        <w:t xml:space="preserve"> </w:t>
      </w:r>
      <w:r w:rsidR="00B02217">
        <w:rPr>
          <w:rFonts w:ascii="Times New Roman" w:hAnsi="Times New Roman" w:cs="Times New Roman"/>
          <w:bCs/>
          <w:spacing w:val="-1"/>
          <w:sz w:val="24"/>
          <w:szCs w:val="24"/>
          <w:lang w:val="en-US"/>
        </w:rPr>
        <w:t>1</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 закупівлю товару</w:t>
      </w: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Придбання пально-мастильних </w:t>
      </w:r>
    </w:p>
    <w:p w:rsidR="00621EBC"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матеріалів (талонів) </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w:t>
      </w:r>
      <w:r w:rsidR="00621EBC" w:rsidRPr="004C5E51">
        <w:rPr>
          <w:rFonts w:ascii="Times New Roman" w:hAnsi="Times New Roman"/>
          <w:b/>
          <w:sz w:val="44"/>
          <w:szCs w:val="44"/>
        </w:rPr>
        <w:t>Дизельне паливо, бензин А-95</w:t>
      </w:r>
      <w:r w:rsidRPr="004C5E51">
        <w:rPr>
          <w:rFonts w:ascii="Times New Roman" w:hAnsi="Times New Roman"/>
          <w:b/>
          <w:sz w:val="44"/>
          <w:szCs w:val="44"/>
        </w:rPr>
        <w:t>)</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(ДК 021:2015: 09130000-9 – Нафта і дистиляти)</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081B2F" w:rsidRDefault="00081B2F" w:rsidP="00615440">
      <w:pPr>
        <w:pStyle w:val="11"/>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202</w:t>
      </w:r>
      <w:r>
        <w:rPr>
          <w:rFonts w:ascii="Times New Roman" w:hAnsi="Times New Roman" w:cs="Times New Roman"/>
          <w:b/>
          <w:bCs/>
          <w:sz w:val="24"/>
          <w:szCs w:val="24"/>
          <w:lang w:val="en-US"/>
        </w:rPr>
        <w:t>4</w:t>
      </w:r>
    </w:p>
    <w:p w:rsidR="00502DBA" w:rsidRDefault="00502DBA">
      <w:pPr>
        <w:spacing w:after="0" w:line="240" w:lineRule="auto"/>
        <w:rPr>
          <w:rFonts w:ascii="Times New Roman" w:eastAsia="Times New Roman" w:hAnsi="Times New Roman" w:cs="Times New Roman"/>
          <w:sz w:val="24"/>
          <w:szCs w:val="24"/>
        </w:rPr>
      </w:pPr>
    </w:p>
    <w:p w:rsidR="006F66C5" w:rsidRPr="004C5E51" w:rsidRDefault="006F66C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53DF6" w:rsidRDefault="00153DF6" w:rsidP="00153DF6">
            <w:pPr>
              <w:ind w:firstLine="6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73000, Україна, Херсонська область, місто Херсон, </w:t>
            </w:r>
            <w:r w:rsidR="00E10E5B">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пр</w:t>
            </w:r>
            <w:r w:rsidR="00E10E5B">
              <w:rPr>
                <w:rFonts w:ascii="Times New Roman" w:eastAsia="Times New Roman" w:hAnsi="Times New Roman" w:cs="Times New Roman"/>
                <w:sz w:val="24"/>
                <w:szCs w:val="24"/>
              </w:rPr>
              <w:t>осп</w:t>
            </w:r>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w:t>
            </w:r>
            <w:r w:rsidR="00583137">
              <w:rPr>
                <w:rFonts w:ascii="Times New Roman" w:eastAsia="Times New Roman" w:hAnsi="Times New Roman" w:cs="Times New Roman"/>
                <w:sz w:val="24"/>
                <w:szCs w:val="24"/>
              </w:rPr>
              <w:t xml:space="preserve">головний спеціаліст відділу організаційної роботи, документообігу та контролю управління з питань організаційної роботи, персоналу та контролю, </w:t>
            </w:r>
            <w:r w:rsidRPr="004C5E51">
              <w:rPr>
                <w:rFonts w:ascii="Times New Roman" w:eastAsia="Times New Roman" w:hAnsi="Times New Roman" w:cs="Times New Roman"/>
                <w:sz w:val="24"/>
                <w:szCs w:val="24"/>
              </w:rPr>
              <w:t xml:space="preserve">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sidR="008568F8">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792E56" w:rsidRDefault="00EB5A6F" w:rsidP="00EB5A6F">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Придбання пально-мастильних матеріалів (талонів) (Дизельне паливо, бензин А-95)(ДК 021:2015: 09130000-9 – Нафта і дистиляти)</w:t>
            </w:r>
          </w:p>
          <w:p w:rsidR="00792E56" w:rsidRPr="00792E56" w:rsidRDefault="00792E56" w:rsidP="00792E56">
            <w:pPr>
              <w:pStyle w:val="a5"/>
              <w:numPr>
                <w:ilvl w:val="0"/>
                <w:numId w:val="6"/>
              </w:numPr>
              <w:shd w:val="clear" w:color="auto" w:fill="FFFFFF"/>
              <w:ind w:left="0" w:firstLine="360"/>
              <w:jc w:val="both"/>
              <w:rPr>
                <w:rFonts w:ascii="Times New Roman" w:eastAsia="Times New Roman" w:hAnsi="Times New Roman"/>
                <w:color w:val="000000"/>
                <w:sz w:val="26"/>
                <w:szCs w:val="26"/>
              </w:rPr>
            </w:pPr>
            <w:r w:rsidRPr="00792E56">
              <w:rPr>
                <w:rFonts w:ascii="Times New Roman" w:eastAsia="Times New Roman" w:hAnsi="Times New Roman"/>
                <w:sz w:val="26"/>
                <w:szCs w:val="26"/>
              </w:rPr>
              <w:t>Дизельне паливо</w:t>
            </w:r>
            <w:r>
              <w:rPr>
                <w:rFonts w:ascii="Segoe UI" w:hAnsi="Segoe UI" w:cs="Segoe UI"/>
                <w:color w:val="000000"/>
                <w:sz w:val="23"/>
                <w:szCs w:val="23"/>
              </w:rPr>
              <w:t xml:space="preserve"> </w:t>
            </w:r>
            <w:hyperlink r:id="rId10" w:history="1">
              <w:r w:rsidRPr="00792E56">
                <w:rPr>
                  <w:rStyle w:val="a6"/>
                  <w:rFonts w:ascii="Segoe UI" w:hAnsi="Segoe UI" w:cs="Segoe UI"/>
                  <w:color w:val="FFFFFF"/>
                  <w:sz w:val="2"/>
                  <w:szCs w:val="2"/>
                </w:rPr>
                <w:t>Т</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09134200-9</w:t>
              </w:r>
              <w:r w:rsidRPr="00792E56">
                <w:rPr>
                  <w:rFonts w:ascii="Times New Roman" w:eastAsia="Times New Roman" w:hAnsi="Times New Roman"/>
                  <w:sz w:val="26"/>
                  <w:szCs w:val="26"/>
                </w:rPr>
                <w:t xml:space="preserve"> – </w:t>
              </w:r>
              <w:r w:rsidRPr="00792E56">
                <w:rPr>
                  <w:rFonts w:ascii="Times New Roman" w:eastAsia="Times New Roman" w:hAnsi="Times New Roman" w:cs="Times New Roman"/>
                  <w:sz w:val="26"/>
                  <w:szCs w:val="26"/>
                </w:rPr>
                <w:t>Дизельне паливо</w:t>
              </w:r>
              <w:r w:rsidRPr="00792E56">
                <w:rPr>
                  <w:rFonts w:ascii="Times New Roman" w:eastAsia="Times New Roman" w:hAnsi="Times New Roman"/>
                  <w:sz w:val="26"/>
                  <w:szCs w:val="26"/>
                </w:rPr>
                <w:t>)</w:t>
              </w:r>
              <w:proofErr w:type="spellStart"/>
              <w:r w:rsidRPr="00792E56">
                <w:rPr>
                  <w:rStyle w:val="a6"/>
                  <w:rFonts w:ascii="Segoe UI" w:hAnsi="Segoe UI" w:cs="Segoe UI"/>
                  <w:color w:val="FFFFFF"/>
                  <w:sz w:val="2"/>
                  <w:szCs w:val="2"/>
                </w:rPr>
                <w:t>k.info</w:t>
              </w:r>
              <w:proofErr w:type="spellEnd"/>
              <w:r w:rsidRPr="00792E56">
                <w:rPr>
                  <w:rStyle w:val="a6"/>
                  <w:rFonts w:ascii="Segoe UI" w:hAnsi="Segoe UI" w:cs="Segoe UI"/>
                  <w:color w:val="FFFFFF"/>
                  <w:sz w:val="2"/>
                  <w:szCs w:val="2"/>
                </w:rPr>
                <w:t xml:space="preserve">/ про </w:t>
              </w:r>
              <w:r w:rsidRPr="00792E56">
                <w:rPr>
                  <w:rStyle w:val="a6"/>
                  <w:rFonts w:ascii="Cambria Math" w:hAnsi="Cambria Math" w:cs="Cambria Math"/>
                  <w:color w:val="FFFFFF"/>
                  <w:sz w:val="2"/>
                  <w:szCs w:val="2"/>
                </w:rPr>
                <w:t>ℹ</w:t>
              </w:r>
              <w:r w:rsidRPr="00792E56">
                <w:rPr>
                  <w:rStyle w:val="a6"/>
                  <w:rFonts w:ascii="Segoe UI" w:hAnsi="Segoe UI" w:cs="Segoe UI"/>
                  <w:color w:val="FFFFFF"/>
                  <w:sz w:val="2"/>
                  <w:szCs w:val="2"/>
                </w:rPr>
                <w:t xml:space="preserve"> </w:t>
              </w:r>
              <w:proofErr w:type="spellStart"/>
              <w:r w:rsidRPr="00792E56">
                <w:rPr>
                  <w:rStyle w:val="a6"/>
                  <w:rFonts w:ascii="Segoe UI" w:hAnsi="Segoe UI" w:cs="Segoe UI"/>
                  <w:color w:val="FFFFFF"/>
                  <w:sz w:val="2"/>
                  <w:szCs w:val="2"/>
                </w:rPr>
                <w:t>ДК</w:t>
              </w:r>
              <w:proofErr w:type="spellEnd"/>
              <w:r w:rsidRPr="00792E56">
                <w:rPr>
                  <w:rStyle w:val="a6"/>
                  <w:rFonts w:ascii="Segoe UI" w:hAnsi="Segoe UI" w:cs="Segoe UI"/>
                  <w:color w:val="FFFFFF"/>
                  <w:sz w:val="2"/>
                  <w:szCs w:val="2"/>
                </w:rPr>
                <w:t xml:space="preserve"> 021:2015 </w:t>
              </w:r>
              <w:r w:rsidRPr="00792E56">
                <w:rPr>
                  <w:rStyle w:val="a6"/>
                  <w:rFonts w:ascii="Cambria Math" w:hAnsi="Cambria Math" w:cs="Cambria Math"/>
                  <w:color w:val="FFFFFF"/>
                  <w:sz w:val="2"/>
                  <w:szCs w:val="2"/>
                </w:rPr>
                <w:t>ℹ</w:t>
              </w:r>
            </w:hyperlink>
          </w:p>
          <w:p w:rsidR="00792E56" w:rsidRPr="00792E56" w:rsidRDefault="00792E56" w:rsidP="00792E56">
            <w:pPr>
              <w:pStyle w:val="a5"/>
              <w:numPr>
                <w:ilvl w:val="0"/>
                <w:numId w:val="6"/>
              </w:numPr>
              <w:ind w:left="0" w:firstLine="360"/>
              <w:jc w:val="both"/>
              <w:rPr>
                <w:rFonts w:ascii="Times New Roman" w:eastAsia="Times New Roman" w:hAnsi="Times New Roman" w:cs="Times New Roman"/>
                <w:sz w:val="24"/>
                <w:szCs w:val="24"/>
              </w:rPr>
            </w:pPr>
            <w:r w:rsidRPr="00792E56">
              <w:rPr>
                <w:rFonts w:ascii="Times New Roman" w:eastAsia="Times New Roman" w:hAnsi="Times New Roman"/>
                <w:sz w:val="26"/>
                <w:szCs w:val="26"/>
              </w:rPr>
              <w:t xml:space="preserve">Бензин А-95 </w:t>
            </w:r>
            <w:r w:rsidRPr="00792E56">
              <w:rPr>
                <w:rFonts w:ascii="Segoe UI" w:hAnsi="Segoe UI" w:cs="Segoe UI"/>
                <w:color w:val="000000"/>
                <w:sz w:val="23"/>
                <w:szCs w:val="23"/>
              </w:rPr>
              <w:t>(</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09132000-3</w:t>
            </w:r>
            <w:r w:rsidRPr="00792E56">
              <w:rPr>
                <w:rFonts w:ascii="Times New Roman" w:eastAsia="Times New Roman" w:hAnsi="Times New Roman"/>
                <w:sz w:val="26"/>
                <w:szCs w:val="26"/>
              </w:rPr>
              <w:t xml:space="preserve"> –</w:t>
            </w:r>
            <w:r w:rsidRPr="00792E56">
              <w:rPr>
                <w:rFonts w:ascii="Times New Roman" w:eastAsia="Times New Roman" w:hAnsi="Times New Roman" w:cs="Times New Roman"/>
                <w:sz w:val="26"/>
                <w:szCs w:val="26"/>
              </w:rPr>
              <w:t xml:space="preserve"> Бензин</w:t>
            </w:r>
            <w:r w:rsidRPr="00792E56">
              <w:rPr>
                <w:rFonts w:ascii="Times New Roman" w:eastAsia="Times New Roman" w:hAnsi="Times New Roman"/>
                <w:sz w:val="26"/>
                <w:szCs w:val="26"/>
              </w:rPr>
              <w:t>)</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товару та місце його поставки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9760FE" w:rsidRPr="004C5E51" w:rsidRDefault="009760FE" w:rsidP="009760FE">
            <w:pPr>
              <w:widowControl w:val="0"/>
              <w:ind w:right="1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Кількість: </w:t>
            </w:r>
          </w:p>
          <w:p w:rsidR="009760FE" w:rsidRPr="00F94B17" w:rsidRDefault="009760FE" w:rsidP="000D3D6E">
            <w:pPr>
              <w:pStyle w:val="a5"/>
              <w:widowControl w:val="0"/>
              <w:numPr>
                <w:ilvl w:val="0"/>
                <w:numId w:val="7"/>
              </w:numPr>
              <w:tabs>
                <w:tab w:val="left" w:pos="341"/>
              </w:tabs>
              <w:ind w:left="0" w:right="120" w:firstLine="57"/>
              <w:jc w:val="both"/>
              <w:rPr>
                <w:rFonts w:ascii="Times New Roman" w:hAnsi="Times New Roman"/>
                <w:sz w:val="24"/>
                <w:szCs w:val="24"/>
              </w:rPr>
            </w:pPr>
            <w:r w:rsidRPr="00F94B17">
              <w:rPr>
                <w:rFonts w:ascii="Times New Roman" w:eastAsia="Times New Roman" w:hAnsi="Times New Roman" w:cs="Times New Roman"/>
                <w:sz w:val="24"/>
                <w:szCs w:val="24"/>
              </w:rPr>
              <w:t xml:space="preserve">Дизельне паливо – </w:t>
            </w:r>
            <w:r w:rsidR="00A23423">
              <w:rPr>
                <w:rStyle w:val="21"/>
                <w:rFonts w:eastAsia="Calibri"/>
                <w:lang w:val="en-US"/>
              </w:rPr>
              <w:t>1500</w:t>
            </w:r>
            <w:r w:rsidRPr="00F94B17">
              <w:rPr>
                <w:rFonts w:ascii="Times New Roman" w:hAnsi="Times New Roman"/>
                <w:sz w:val="24"/>
                <w:szCs w:val="24"/>
              </w:rPr>
              <w:t xml:space="preserve"> літрів</w:t>
            </w:r>
          </w:p>
          <w:p w:rsidR="009760FE" w:rsidRPr="00F94B17" w:rsidRDefault="009760FE" w:rsidP="009760FE">
            <w:pPr>
              <w:pStyle w:val="a5"/>
              <w:widowControl w:val="0"/>
              <w:numPr>
                <w:ilvl w:val="0"/>
                <w:numId w:val="7"/>
              </w:numPr>
              <w:tabs>
                <w:tab w:val="left" w:pos="341"/>
              </w:tabs>
              <w:ind w:left="0" w:right="120" w:firstLine="57"/>
              <w:jc w:val="both"/>
              <w:rPr>
                <w:rFonts w:ascii="Times New Roman" w:hAnsi="Times New Roman"/>
                <w:sz w:val="24"/>
                <w:szCs w:val="24"/>
              </w:rPr>
            </w:pPr>
            <w:r w:rsidRPr="00F94B17">
              <w:rPr>
                <w:rFonts w:ascii="Times New Roman" w:eastAsia="Times New Roman" w:hAnsi="Times New Roman" w:cs="Times New Roman"/>
                <w:sz w:val="24"/>
                <w:szCs w:val="24"/>
              </w:rPr>
              <w:t xml:space="preserve">Бензин А-95 – </w:t>
            </w:r>
            <w:r w:rsidR="00A23423">
              <w:rPr>
                <w:rStyle w:val="21"/>
                <w:rFonts w:eastAsia="Calibri"/>
                <w:lang w:val="en-US"/>
              </w:rPr>
              <w:t>3</w:t>
            </w:r>
            <w:r w:rsidR="009654B0">
              <w:rPr>
                <w:rStyle w:val="21"/>
                <w:rFonts w:eastAsia="Calibri"/>
              </w:rPr>
              <w:t>000</w:t>
            </w:r>
            <w:r w:rsidRPr="00F94B17">
              <w:rPr>
                <w:rFonts w:ascii="Times New Roman" w:hAnsi="Times New Roman"/>
                <w:sz w:val="24"/>
                <w:szCs w:val="24"/>
              </w:rPr>
              <w:t xml:space="preserve"> літрів</w:t>
            </w:r>
          </w:p>
          <w:p w:rsidR="00F937E7" w:rsidRPr="004C5E51" w:rsidRDefault="009760FE" w:rsidP="00B02217">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Місце поставки товарів:</w:t>
            </w:r>
            <w:r w:rsidRPr="004C5E51">
              <w:rPr>
                <w:rFonts w:ascii="Times New Roman" w:eastAsia="Times New Roman" w:hAnsi="Times New Roman" w:cs="Times New Roman"/>
                <w:sz w:val="24"/>
                <w:szCs w:val="24"/>
              </w:rPr>
              <w:t xml:space="preserve"> </w:t>
            </w:r>
            <w:r w:rsidR="00B02217" w:rsidRPr="00B02217">
              <w:rPr>
                <w:rFonts w:ascii="Times New Roman" w:eastAsia="Times New Roman" w:hAnsi="Times New Roman" w:cs="Times New Roman"/>
                <w:sz w:val="24"/>
                <w:szCs w:val="24"/>
              </w:rPr>
              <w:t xml:space="preserve">73000, Україна, Херсонська </w:t>
            </w:r>
            <w:r w:rsidR="00B02217" w:rsidRPr="00B02217">
              <w:rPr>
                <w:rFonts w:ascii="Times New Roman" w:eastAsia="Times New Roman" w:hAnsi="Times New Roman" w:cs="Times New Roman"/>
                <w:sz w:val="24"/>
                <w:szCs w:val="24"/>
              </w:rPr>
              <w:lastRenderedPageBreak/>
              <w:t>область, місто Херсон, стаціонарна мережа автозаправних станцій  (АЗС), та АЗС для заправки автотранспорту по всій території України.</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A23423" w:rsidRDefault="00811E57" w:rsidP="007A10B9">
            <w:pPr>
              <w:widowControl w:val="0"/>
              <w:rPr>
                <w:rFonts w:ascii="Times New Roman" w:eastAsia="Times New Roman" w:hAnsi="Times New Roman" w:cs="Times New Roman"/>
                <w:sz w:val="24"/>
                <w:szCs w:val="24"/>
                <w:highlight w:val="cyan"/>
                <w:lang w:val="en-US"/>
              </w:rPr>
            </w:pPr>
            <w:r w:rsidRPr="00961FC2">
              <w:rPr>
                <w:rFonts w:ascii="Times New Roman" w:eastAsia="Times New Roman" w:hAnsi="Times New Roman"/>
                <w:sz w:val="24"/>
                <w:szCs w:val="24"/>
              </w:rPr>
              <w:t xml:space="preserve">до </w:t>
            </w:r>
            <w:r w:rsidR="00A23423">
              <w:rPr>
                <w:rFonts w:ascii="Times New Roman" w:eastAsia="Times New Roman" w:hAnsi="Times New Roman" w:cs="Times New Roman"/>
                <w:sz w:val="24"/>
                <w:szCs w:val="24"/>
              </w:rPr>
              <w:t>31.</w:t>
            </w:r>
            <w:r w:rsidR="00A23423">
              <w:rPr>
                <w:rFonts w:ascii="Times New Roman" w:eastAsia="Times New Roman" w:hAnsi="Times New Roman" w:cs="Times New Roman"/>
                <w:sz w:val="24"/>
                <w:szCs w:val="24"/>
                <w:lang w:val="en-US"/>
              </w:rPr>
              <w:t>03</w:t>
            </w:r>
            <w:r w:rsidRPr="00961FC2">
              <w:rPr>
                <w:rFonts w:ascii="Times New Roman" w:eastAsia="Times New Roman" w:hAnsi="Times New Roman" w:cs="Times New Roman"/>
                <w:sz w:val="24"/>
                <w:szCs w:val="24"/>
              </w:rPr>
              <w:t>.202</w:t>
            </w:r>
            <w:r w:rsidR="00A23423">
              <w:rPr>
                <w:rFonts w:ascii="Times New Roman" w:eastAsia="Times New Roman" w:hAnsi="Times New Roman" w:cs="Times New Roman"/>
                <w:sz w:val="24"/>
                <w:szCs w:val="24"/>
                <w:lang w:val="en-US"/>
              </w:rPr>
              <w:t>4</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Default="00BF1AF0" w:rsidP="00811E57">
            <w:pPr>
              <w:widowControl w:val="0"/>
              <w:ind w:right="140" w:firstLine="341"/>
              <w:jc w:val="both"/>
              <w:rPr>
                <w:rFonts w:ascii="Times New Roman" w:eastAsia="Times New Roman" w:hAnsi="Times New Roman" w:cs="Times New Roman"/>
                <w:sz w:val="24"/>
                <w:szCs w:val="24"/>
                <w:lang w:val="en-US"/>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B03DF" w:rsidRPr="007B03DF" w:rsidRDefault="007B03DF" w:rsidP="007B03DF">
            <w:pPr>
              <w:widowControl w:val="0"/>
              <w:ind w:right="140" w:firstLine="341"/>
              <w:jc w:val="both"/>
              <w:rPr>
                <w:rFonts w:ascii="Times New Roman" w:eastAsia="Times New Roman" w:hAnsi="Times New Roman" w:cs="Times New Roman"/>
                <w:sz w:val="24"/>
                <w:szCs w:val="24"/>
              </w:rPr>
            </w:pPr>
            <w:r w:rsidRPr="007B03DF">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7B03DF" w:rsidRPr="007B03DF" w:rsidRDefault="007B03DF" w:rsidP="00811E57">
            <w:pPr>
              <w:widowControl w:val="0"/>
              <w:ind w:right="14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Постановою Кабміну від 12.10.2022 № 1178 (із змінами й доповненнями)</w:t>
            </w:r>
            <w:r>
              <w:rPr>
                <w:rFonts w:ascii="Times New Roman" w:eastAsia="Times New Roman" w:hAnsi="Times New Roman" w:cs="Times New Roman"/>
                <w:sz w:val="24"/>
                <w:szCs w:val="24"/>
              </w:rPr>
              <w:t xml:space="preserve"> встановлено, що </w:t>
            </w:r>
            <w:r w:rsidRPr="007B03DF">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3DF">
              <w:rPr>
                <w:rFonts w:ascii="Times New Roman" w:eastAsia="Times New Roman" w:hAnsi="Times New Roman" w:cs="Times New Roman"/>
                <w:sz w:val="24"/>
                <w:szCs w:val="24"/>
              </w:rPr>
              <w:t>бенефіціарним</w:t>
            </w:r>
            <w:proofErr w:type="spellEnd"/>
            <w:r w:rsidRPr="007B03D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B03DF" w:rsidRPr="007B03DF" w:rsidRDefault="007B03DF" w:rsidP="00811E57">
            <w:pPr>
              <w:widowControl w:val="0"/>
              <w:ind w:right="14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7B03DF">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sz w:val="24"/>
                <w:szCs w:val="24"/>
              </w:rPr>
              <w:t>.</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7D5D42" w:rsidRPr="004C5E51" w:rsidRDefault="00BF1AF0" w:rsidP="007D5D42">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Стандартні характеристики, вимоги, умовні позначення </w:t>
            </w:r>
            <w:r w:rsidRPr="004C5E51">
              <w:rPr>
                <w:rFonts w:ascii="Times New Roman" w:eastAsia="Times New Roman" w:hAnsi="Times New Roman" w:cs="Times New Roman"/>
                <w:sz w:val="24"/>
                <w:szCs w:val="24"/>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rsidTr="00AE18B7">
        <w:trPr>
          <w:trHeight w:val="1266"/>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w:t>
            </w:r>
            <w:r w:rsidRPr="004C5E51">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502DBA"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p w:rsidR="00873857" w:rsidRDefault="00873857" w:rsidP="002B0536">
            <w:pPr>
              <w:widowControl w:val="0"/>
              <w:ind w:firstLine="340"/>
              <w:jc w:val="both"/>
              <w:rPr>
                <w:rFonts w:ascii="Times New Roman" w:eastAsia="Times New Roman" w:hAnsi="Times New Roman" w:cs="Times New Roman"/>
                <w:sz w:val="24"/>
                <w:szCs w:val="24"/>
                <w:highlight w:val="white"/>
              </w:rPr>
            </w:pPr>
          </w:p>
          <w:p w:rsidR="00873857" w:rsidRPr="004C5E51" w:rsidRDefault="00873857" w:rsidP="002B0536">
            <w:pPr>
              <w:widowControl w:val="0"/>
              <w:ind w:firstLine="340"/>
              <w:jc w:val="both"/>
              <w:rPr>
                <w:rFonts w:ascii="Times New Roman" w:eastAsia="Times New Roman" w:hAnsi="Times New Roman" w:cs="Times New Roman"/>
                <w:sz w:val="24"/>
                <w:szCs w:val="24"/>
                <w:highlight w:val="white"/>
              </w:rPr>
            </w:pP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Pr="00C20ACB"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Pr>
                <w:rFonts w:ascii="Times New Roman" w:eastAsia="Times New Roman" w:hAnsi="Times New Roman" w:cs="Times New Roman"/>
                <w:sz w:val="24"/>
                <w:szCs w:val="24"/>
              </w:rPr>
              <w:t xml:space="preserve"> </w:t>
            </w:r>
            <w:hyperlink r:id="rId12"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w:t>
            </w:r>
            <w:r w:rsidRPr="004C5E51">
              <w:rPr>
                <w:rFonts w:ascii="Times New Roman" w:eastAsia="Times New Roman" w:hAnsi="Times New Roman" w:cs="Times New Roman"/>
                <w:sz w:val="24"/>
                <w:szCs w:val="24"/>
              </w:rPr>
              <w:lastRenderedPageBreak/>
              <w:t>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3</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w:t>
            </w:r>
            <w:r w:rsidRPr="004C5E51">
              <w:rPr>
                <w:rFonts w:ascii="Times New Roman" w:hAnsi="Times New Roman" w:cs="Times New Roman"/>
                <w:b/>
                <w:sz w:val="24"/>
                <w:szCs w:val="24"/>
              </w:rPr>
              <w:t xml:space="preserve">згідно з </w:t>
            </w:r>
            <w:proofErr w:type="spellStart"/>
            <w:r w:rsidRPr="004C5E51">
              <w:rPr>
                <w:rFonts w:ascii="Times New Roman" w:hAnsi="Times New Roman" w:cs="Times New Roman"/>
                <w:b/>
                <w:sz w:val="24"/>
                <w:szCs w:val="24"/>
              </w:rPr>
              <w:t>Додатко</w:t>
            </w:r>
            <w:proofErr w:type="spellEnd"/>
            <w:r w:rsidRPr="008477F2">
              <w:rPr>
                <w:rFonts w:ascii="Times New Roman" w:hAnsi="Times New Roman" w:cs="Times New Roman"/>
                <w:b/>
                <w:sz w:val="24"/>
                <w:szCs w:val="24"/>
                <w:lang w:val="ru-RU"/>
              </w:rPr>
              <w:t>м</w:t>
            </w:r>
            <w:r w:rsidRPr="004C5E51">
              <w:rPr>
                <w:rFonts w:ascii="Times New Roman" w:hAnsi="Times New Roman" w:cs="Times New Roman"/>
                <w:b/>
                <w:sz w:val="24"/>
                <w:szCs w:val="24"/>
              </w:rPr>
              <w:t xml:space="preserve"> 1 </w:t>
            </w:r>
            <w:r w:rsidRPr="004C5E51">
              <w:rPr>
                <w:rFonts w:ascii="Times New Roman" w:hAnsi="Times New Roman" w:cs="Times New Roman"/>
                <w:sz w:val="24"/>
                <w:szCs w:val="24"/>
              </w:rPr>
              <w:t xml:space="preserve"> до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Pr>
                <w:rFonts w:ascii="Times New Roman" w:hAnsi="Times New Roman" w:cs="Times New Roman"/>
                <w:sz w:val="24"/>
                <w:szCs w:val="24"/>
              </w:rPr>
              <w:t xml:space="preserve"> та тендерною документацією</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4C5E51">
              <w:rPr>
                <w:rFonts w:ascii="Times New Roman" w:eastAsia="Times New Roman" w:hAnsi="Times New Roman" w:cs="Times New Roman"/>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написання слів разом та/або окремо, та/або через 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«______________№_____________» замість </w:t>
            </w:r>
            <w:r w:rsidRPr="004C5E51">
              <w:rPr>
                <w:rFonts w:ascii="Times New Roman" w:eastAsia="Times New Roman" w:hAnsi="Times New Roman" w:cs="Times New Roman"/>
                <w:sz w:val="24"/>
                <w:szCs w:val="24"/>
              </w:rPr>
              <w:lastRenderedPageBreak/>
              <w:t>«14.08.2020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5E2CB3">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документи мають бути чіткими та розбірливими для 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r w:rsidR="005E2CB3">
              <w:rPr>
                <w:rFonts w:ascii="Times New Roman" w:hAnsi="Times New Roman" w:cs="Times New Roman"/>
                <w:sz w:val="24"/>
                <w:szCs w:val="24"/>
              </w:rPr>
              <w:t xml:space="preserve"> та на всю пропозицію в цілому</w:t>
            </w:r>
            <w:r w:rsidRPr="004C5E51">
              <w:rPr>
                <w:rFonts w:ascii="Times New Roman" w:hAnsi="Times New Roman" w:cs="Times New Roman"/>
                <w:sz w:val="24"/>
                <w:szCs w:val="24"/>
              </w:rPr>
              <w:t>;</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4C5E51">
              <w:rPr>
                <w:rFonts w:ascii="Times New Roman" w:eastAsia="Times New Roman" w:hAnsi="Times New Roman" w:cs="Times New Roman"/>
                <w:sz w:val="24"/>
                <w:szCs w:val="24"/>
              </w:rPr>
              <w:lastRenderedPageBreak/>
              <w:t xml:space="preserve">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90" w:rsidRPr="004C5E51" w:rsidRDefault="005D5990" w:rsidP="005D5990">
            <w:pPr>
              <w:widowControl w:val="0"/>
              <w:ind w:left="4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w:t>
            </w:r>
            <w:r w:rsidR="005278E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35F54" w:rsidRPr="00395B37">
              <w:rPr>
                <w:rFonts w:ascii="Times New Roman" w:eastAsia="Times New Roman" w:hAnsi="Times New Roman" w:cs="Times New Roman"/>
                <w:b/>
                <w:sz w:val="24"/>
                <w:szCs w:val="24"/>
                <w:lang w:val="ru-RU"/>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4C5E51">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 </w:t>
            </w:r>
            <w:r w:rsidR="00F11E2B">
              <w:rPr>
                <w:rFonts w:ascii="Times New Roman" w:eastAsia="Times New Roman" w:hAnsi="Times New Roman" w:cs="Times New Roman"/>
                <w:sz w:val="24"/>
                <w:szCs w:val="24"/>
              </w:rPr>
              <w:t xml:space="preserve">учасник процедури закупівлі або кінцевий </w:t>
            </w:r>
            <w:proofErr w:type="spellStart"/>
            <w:r w:rsidR="00F11E2B">
              <w:rPr>
                <w:rFonts w:ascii="Times New Roman" w:eastAsia="Times New Roman" w:hAnsi="Times New Roman" w:cs="Times New Roman"/>
                <w:sz w:val="24"/>
                <w:szCs w:val="24"/>
              </w:rPr>
              <w:t>бенефіціарний</w:t>
            </w:r>
            <w:proofErr w:type="spellEnd"/>
            <w:r w:rsidR="00F11E2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11E2B" w:rsidRPr="00F11E2B">
              <w:rPr>
                <w:rFonts w:ascii="Times New Roman" w:eastAsia="Times New Roman" w:hAnsi="Times New Roman" w:cs="Times New Roman"/>
                <w:sz w:val="24"/>
                <w:szCs w:val="24"/>
              </w:rPr>
              <w:t>у неї</w:t>
            </w:r>
            <w:r w:rsidR="00F11E2B">
              <w:rPr>
                <w:rFonts w:ascii="Times New Roman" w:eastAsia="Times New Roman" w:hAnsi="Times New Roman" w:cs="Times New Roman"/>
                <w:sz w:val="24"/>
                <w:szCs w:val="24"/>
              </w:rPr>
              <w:t xml:space="preserve"> </w:t>
            </w:r>
            <w:r w:rsidR="00F11E2B" w:rsidRPr="00F11E2B">
              <w:rPr>
                <w:rFonts w:ascii="Times New Roman" w:eastAsia="Times New Roman" w:hAnsi="Times New Roman" w:cs="Times New Roman"/>
                <w:sz w:val="24"/>
                <w:szCs w:val="24"/>
              </w:rPr>
              <w:t xml:space="preserve">публічних закупівель товарів, робіт і послуг згідно із Законом України </w:t>
            </w:r>
            <w:proofErr w:type="spellStart"/>
            <w:r w:rsidR="00F11E2B" w:rsidRPr="00F11E2B">
              <w:rPr>
                <w:rFonts w:ascii="Times New Roman" w:eastAsia="Times New Roman" w:hAnsi="Times New Roman" w:cs="Times New Roman"/>
                <w:sz w:val="24"/>
                <w:szCs w:val="24"/>
              </w:rPr>
              <w:t>“Про</w:t>
            </w:r>
            <w:proofErr w:type="spellEnd"/>
            <w:r w:rsidR="00F11E2B" w:rsidRPr="00F11E2B">
              <w:rPr>
                <w:rFonts w:ascii="Times New Roman" w:eastAsia="Times New Roman" w:hAnsi="Times New Roman" w:cs="Times New Roman"/>
                <w:sz w:val="24"/>
                <w:szCs w:val="24"/>
              </w:rPr>
              <w:t xml:space="preserve"> </w:t>
            </w:r>
            <w:proofErr w:type="spellStart"/>
            <w:r w:rsidR="00F11E2B" w:rsidRPr="00F11E2B">
              <w:rPr>
                <w:rFonts w:ascii="Times New Roman" w:eastAsia="Times New Roman" w:hAnsi="Times New Roman" w:cs="Times New Roman"/>
                <w:sz w:val="24"/>
                <w:szCs w:val="24"/>
              </w:rPr>
              <w:t>санкції”</w:t>
            </w:r>
            <w:proofErr w:type="spellEnd"/>
            <w:r w:rsidR="00F11E2B" w:rsidRPr="00F11E2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5E00BF" w:rsidRPr="00334579"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Під час розгляду тендерної пропозиції учасника замовник самостійно відповідно до пункту 47 </w:t>
            </w:r>
            <w:r w:rsidRPr="00334579">
              <w:rPr>
                <w:rFonts w:ascii="Times New Roman" w:hAnsi="Times New Roman" w:cs="Times New Roman"/>
                <w:i/>
                <w:color w:val="000000" w:themeColor="text1"/>
                <w:sz w:val="24"/>
                <w:szCs w:val="24"/>
              </w:rPr>
              <w:lastRenderedPageBreak/>
              <w:t xml:space="preserve">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5E00BF" w:rsidRPr="00334579"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E00BF" w:rsidRPr="005E00BF"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395B37">
              <w:rPr>
                <w:lang w:val="ru-RU"/>
              </w:rPr>
              <w:t>7</w:t>
            </w:r>
            <w:r w:rsidRPr="0096452B">
              <w:t xml:space="preserve"> Особливостей.</w:t>
            </w:r>
            <w:r>
              <w:t xml:space="preserve"> </w:t>
            </w:r>
          </w:p>
          <w:p w:rsidR="00116AEF" w:rsidRDefault="0096452B" w:rsidP="00116AEF">
            <w:pPr>
              <w:pStyle w:val="a9"/>
              <w:spacing w:before="0" w:beforeAutospacing="0" w:after="0" w:afterAutospacing="0"/>
              <w:ind w:firstLine="601"/>
              <w:jc w:val="both"/>
            </w:pPr>
            <w:r w:rsidRPr="0096452B">
              <w:t>Учасник процедури закупівлі підтверджує відсутність підстав, зазначених в цьому пункті (крім </w:t>
            </w:r>
            <w:hyperlink r:id="rId14" w:anchor="n616" w:history="1">
              <w:r w:rsidRPr="0096452B">
                <w:t>підпунктів 1</w:t>
              </w:r>
            </w:hyperlink>
            <w:r w:rsidRPr="0096452B">
              <w:t> і </w:t>
            </w:r>
            <w:hyperlink r:id="rId15" w:anchor="n622" w:history="1">
              <w:r w:rsidRPr="0096452B">
                <w:t>7</w:t>
              </w:r>
            </w:hyperlink>
            <w:r w:rsidRPr="0096452B">
              <w:t>, </w:t>
            </w:r>
            <w:hyperlink r:id="rId16"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96452B" w:rsidRDefault="0096452B" w:rsidP="00116AEF">
            <w:pPr>
              <w:pStyle w:val="a9"/>
              <w:spacing w:before="0" w:beforeAutospacing="0" w:after="0" w:afterAutospacing="0"/>
              <w:ind w:firstLine="601"/>
              <w:jc w:val="both"/>
            </w:pPr>
            <w:r w:rsidRPr="009645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628" w:history="1">
              <w:r w:rsidRPr="0096452B">
                <w:t>абзацу чотирнадцятого</w:t>
              </w:r>
            </w:hyperlink>
            <w:r w:rsidRPr="0096452B">
              <w:t> цього пункту), крім самостійного декларування відсутності таких підстав учасником процедури закупівлі відповідно до </w:t>
            </w:r>
            <w:hyperlink r:id="rId18" w:anchor="n630" w:history="1">
              <w:r w:rsidRPr="0096452B">
                <w:t>абзацу шістнадцятого</w:t>
              </w:r>
            </w:hyperlink>
            <w:r w:rsidRPr="0096452B">
              <w:t> </w:t>
            </w:r>
            <w:r>
              <w:t xml:space="preserve"> пункту 4</w:t>
            </w:r>
            <w:r w:rsidRPr="00395B37">
              <w:t>7</w:t>
            </w:r>
            <w:r w:rsidR="00116AEF" w:rsidRPr="0096452B">
              <w:t xml:space="preserve"> Особливостей.</w:t>
            </w:r>
          </w:p>
          <w:p w:rsidR="00116AEF" w:rsidRPr="0096452B" w:rsidRDefault="0096452B" w:rsidP="00116AEF">
            <w:pPr>
              <w:pStyle w:val="a9"/>
              <w:spacing w:before="0" w:beforeAutospacing="0" w:after="0" w:afterAutospacing="0"/>
              <w:ind w:firstLine="601"/>
              <w:jc w:val="both"/>
            </w:pPr>
            <w:r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6452B">
                <w:t>підпунктах 3</w:t>
              </w:r>
            </w:hyperlink>
            <w:r w:rsidRPr="0096452B">
              <w:t>, </w:t>
            </w:r>
            <w:hyperlink r:id="rId20" w:anchor="n620" w:history="1">
              <w:r w:rsidRPr="0096452B">
                <w:t>5</w:t>
              </w:r>
            </w:hyperlink>
            <w:r w:rsidRPr="0096452B">
              <w:t>, </w:t>
            </w:r>
            <w:hyperlink r:id="rId21" w:anchor="n621" w:history="1">
              <w:r w:rsidRPr="0096452B">
                <w:t>6</w:t>
              </w:r>
            </w:hyperlink>
            <w:r w:rsidRPr="0096452B">
              <w:t> і </w:t>
            </w:r>
            <w:hyperlink r:id="rId22" w:anchor="n627" w:history="1">
              <w:r w:rsidRPr="0096452B">
                <w:t>12</w:t>
              </w:r>
            </w:hyperlink>
            <w:r w:rsidRPr="0096452B">
              <w:t> та в </w:t>
            </w:r>
            <w:hyperlink r:id="rId23" w:anchor="n628" w:history="1">
              <w:r w:rsidRPr="0096452B">
                <w:t>абзаці чотирнадцятому</w:t>
              </w:r>
            </w:hyperlink>
            <w:r w:rsidRPr="0096452B">
              <w:t xml:space="preserve">  </w:t>
            </w:r>
            <w:r>
              <w:t>пункту 4</w:t>
            </w:r>
            <w:r w:rsidRPr="00395B37">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395B37">
              <w:rPr>
                <w:lang w:val="ru-RU"/>
              </w:rPr>
              <w:t>7</w:t>
            </w:r>
            <w:r w:rsidRPr="0096452B">
              <w:t xml:space="preserve"> Особливостей, визначені у </w:t>
            </w:r>
            <w:r w:rsidRPr="0096452B">
              <w:rPr>
                <w:b/>
              </w:rPr>
              <w:t>Додатку 2</w:t>
            </w:r>
            <w:r w:rsidRPr="0096452B">
              <w:t xml:space="preserve"> цієї тендерної документації.</w:t>
            </w:r>
          </w:p>
          <w:p w:rsidR="008B3B51" w:rsidRPr="00882851" w:rsidRDefault="00F05D58" w:rsidP="00951BF2">
            <w:pPr>
              <w:ind w:firstLine="340"/>
              <w:jc w:val="both"/>
              <w:rPr>
                <w:rFonts w:ascii="Times New Roman" w:eastAsia="Times New Roman" w:hAnsi="Times New Roman" w:cs="Times New Roman"/>
                <w:sz w:val="24"/>
                <w:szCs w:val="24"/>
              </w:rPr>
            </w:pPr>
            <w:r w:rsidRPr="00F05D58">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F05D58">
                <w:rPr>
                  <w:rFonts w:ascii="Times New Roman" w:eastAsia="Times New Roman" w:hAnsi="Times New Roman" w:cs="Times New Roman"/>
                  <w:sz w:val="24"/>
                  <w:szCs w:val="24"/>
                </w:rPr>
                <w:t>Законом України</w:t>
              </w:r>
            </w:hyperlink>
            <w:r w:rsidRPr="00F05D58">
              <w:rPr>
                <w:rFonts w:ascii="Times New Roman" w:eastAsia="Times New Roman" w:hAnsi="Times New Roman" w:cs="Times New Roman"/>
                <w:sz w:val="24"/>
                <w:szCs w:val="24"/>
              </w:rPr>
              <w:t> </w:t>
            </w:r>
            <w:proofErr w:type="spellStart"/>
            <w:r w:rsidRPr="00F05D58">
              <w:rPr>
                <w:rFonts w:ascii="Times New Roman" w:eastAsia="Times New Roman" w:hAnsi="Times New Roman" w:cs="Times New Roman"/>
                <w:sz w:val="24"/>
                <w:szCs w:val="24"/>
              </w:rPr>
              <w:t>“Про</w:t>
            </w:r>
            <w:proofErr w:type="spellEnd"/>
            <w:r w:rsidRPr="00F05D58">
              <w:rPr>
                <w:rFonts w:ascii="Times New Roman" w:eastAsia="Times New Roman" w:hAnsi="Times New Roman" w:cs="Times New Roman"/>
                <w:sz w:val="24"/>
                <w:szCs w:val="24"/>
              </w:rPr>
              <w:t xml:space="preserve"> доступ до публічної </w:t>
            </w:r>
            <w:proofErr w:type="spellStart"/>
            <w:r w:rsidRPr="00F05D58">
              <w:rPr>
                <w:rFonts w:ascii="Times New Roman" w:eastAsia="Times New Roman" w:hAnsi="Times New Roman" w:cs="Times New Roman"/>
                <w:sz w:val="24"/>
                <w:szCs w:val="24"/>
              </w:rPr>
              <w:t>інформації”</w:t>
            </w:r>
            <w:proofErr w:type="spellEnd"/>
            <w:r w:rsidRPr="00F05D58">
              <w:rPr>
                <w:rFonts w:ascii="Times New Roman" w:eastAsia="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02DBA" w:rsidRPr="004C5E51" w:rsidTr="00683D1C">
        <w:trPr>
          <w:trHeight w:val="1538"/>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Default="00200DB5" w:rsidP="00200DB5">
            <w:pPr>
              <w:widowControl w:val="0"/>
              <w:ind w:right="12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Вимоги до предмета закупівлі (технічні, якісні та кількісні характеристики, у тому числі відповідна технічна специфікація) згідно з</w:t>
            </w:r>
            <w:hyperlink r:id="rId25">
              <w:r w:rsidRPr="004C5E51">
                <w:rPr>
                  <w:rFonts w:ascii="Times New Roman" w:eastAsia="Times New Roman" w:hAnsi="Times New Roman" w:cs="Times New Roman"/>
                  <w:sz w:val="24"/>
                  <w:szCs w:val="24"/>
                </w:rPr>
                <w:t xml:space="preserve"> пунктом третім </w:t>
              </w:r>
            </w:hyperlink>
            <w:hyperlink r:id="rId26">
              <w:r w:rsidRPr="004C5E51">
                <w:rPr>
                  <w:rFonts w:ascii="Times New Roman" w:eastAsia="Times New Roman" w:hAnsi="Times New Roman" w:cs="Times New Roman"/>
                  <w:sz w:val="24"/>
                  <w:szCs w:val="24"/>
                </w:rPr>
                <w:t>частини друго</w:t>
              </w:r>
            </w:hyperlink>
            <w:r w:rsidRPr="004C5E51">
              <w:rPr>
                <w:rFonts w:ascii="Times New Roman" w:eastAsia="Times New Roman" w:hAnsi="Times New Roman" w:cs="Times New Roman"/>
                <w:sz w:val="24"/>
                <w:szCs w:val="24"/>
              </w:rPr>
              <w:t xml:space="preserve">ї статті 22 Закону зазначено в </w:t>
            </w:r>
            <w:r w:rsidRPr="004C5E51">
              <w:rPr>
                <w:rFonts w:ascii="Times New Roman" w:eastAsia="Times New Roman" w:hAnsi="Times New Roman" w:cs="Times New Roman"/>
                <w:b/>
                <w:sz w:val="24"/>
                <w:szCs w:val="24"/>
              </w:rPr>
              <w:t xml:space="preserve">Додатку 3 </w:t>
            </w:r>
            <w:r w:rsidRPr="004C5E51">
              <w:rPr>
                <w:rFonts w:ascii="Times New Roman" w:eastAsia="Times New Roman" w:hAnsi="Times New Roman" w:cs="Times New Roman"/>
                <w:sz w:val="24"/>
                <w:szCs w:val="24"/>
              </w:rPr>
              <w:t>до цієї тендерної документації.</w:t>
            </w:r>
          </w:p>
          <w:p w:rsidR="00DB1767" w:rsidRPr="004C5E51" w:rsidRDefault="00DB1767" w:rsidP="00200DB5">
            <w:pPr>
              <w:widowControl w:val="0"/>
              <w:ind w:right="120" w:firstLine="342"/>
              <w:jc w:val="both"/>
              <w:rPr>
                <w:rFonts w:ascii="Times New Roman" w:eastAsia="Times New Roman" w:hAnsi="Times New Roman" w:cs="Times New Roman"/>
                <w:sz w:val="24"/>
                <w:szCs w:val="24"/>
              </w:rPr>
            </w:pPr>
            <w:r w:rsidRPr="00103D45">
              <w:rPr>
                <w:rFonts w:ascii="Times New Roman" w:hAnsi="Times New Roman" w:cs="Times New Roman"/>
                <w:sz w:val="24"/>
                <w:szCs w:val="24"/>
              </w:rPr>
              <w:t>Тендерна пропозиція</w:t>
            </w:r>
            <w:r w:rsidRPr="00DE782A">
              <w:rPr>
                <w:rFonts w:ascii="Times New Roman" w:hAnsi="Times New Roman" w:cs="Times New Roman"/>
                <w:sz w:val="24"/>
                <w:szCs w:val="24"/>
              </w:rPr>
              <w:t>, що не відповідає зазначеним вище вимогам, буде відхилена відповідно до вимог Закону з урахуванням абзацу другому підпункту 2 пункту 4</w:t>
            </w:r>
            <w:r>
              <w:rPr>
                <w:rFonts w:ascii="Times New Roman" w:hAnsi="Times New Roman" w:cs="Times New Roman"/>
                <w:sz w:val="24"/>
                <w:szCs w:val="24"/>
              </w:rPr>
              <w:t>4</w:t>
            </w:r>
            <w:r w:rsidRPr="00DE782A">
              <w:rPr>
                <w:rFonts w:ascii="Times New Roman" w:hAnsi="Times New Roman" w:cs="Times New Roman"/>
                <w:sz w:val="24"/>
                <w:szCs w:val="24"/>
              </w:rPr>
              <w:t xml:space="preserve"> Особливостей.</w:t>
            </w:r>
          </w:p>
          <w:p w:rsidR="00502DBA" w:rsidRDefault="00200DB5" w:rsidP="00AA4B71">
            <w:pPr>
              <w:widowControl w:val="0"/>
              <w:ind w:right="120" w:firstLine="341"/>
              <w:jc w:val="both"/>
              <w:rPr>
                <w:rFonts w:ascii="Times New Roman" w:hAnsi="Times New Roman" w:cs="Times New Roman"/>
                <w:sz w:val="24"/>
                <w:szCs w:val="24"/>
              </w:rPr>
            </w:pPr>
            <w:r w:rsidRPr="004C5E51">
              <w:rPr>
                <w:rFonts w:ascii="Times New Roman" w:hAnsi="Times New Roman" w:cs="Times New Roman"/>
                <w:sz w:val="24"/>
                <w:szCs w:val="24"/>
              </w:rPr>
              <w:t xml:space="preserve">У цій документації всі посилання на конкретні марку </w:t>
            </w:r>
            <w:r w:rsidRPr="004C5E51">
              <w:rPr>
                <w:rFonts w:ascii="Times New Roman" w:hAnsi="Times New Roman" w:cs="Times New Roman"/>
                <w:sz w:val="24"/>
                <w:szCs w:val="24"/>
              </w:rPr>
              <w:lastRenderedPageBreak/>
              <w:t>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05D58" w:rsidRPr="004C5E51" w:rsidRDefault="00F05D58" w:rsidP="00AA4B71">
            <w:pPr>
              <w:widowControl w:val="0"/>
              <w:ind w:right="120" w:firstLine="341"/>
              <w:jc w:val="both"/>
              <w:rPr>
                <w:rFonts w:ascii="Times New Roman" w:eastAsia="Times New Roman" w:hAnsi="Times New Roman" w:cs="Times New Roman"/>
                <w:sz w:val="24"/>
                <w:szCs w:val="24"/>
              </w:rPr>
            </w:pP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lastRenderedPageBreak/>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AE4294" w:rsidRPr="009508D5" w:rsidRDefault="00C21CBA" w:rsidP="00767EEE">
            <w:pPr>
              <w:pStyle w:val="a9"/>
              <w:spacing w:before="0" w:beforeAutospacing="0" w:after="0" w:afterAutospacing="0"/>
              <w:ind w:firstLine="342"/>
              <w:jc w:val="both"/>
              <w:rPr>
                <w:highlight w:val="yellow"/>
              </w:rPr>
            </w:pPr>
            <w:r>
              <w:rPr>
                <w:color w:val="000000" w:themeColor="text1"/>
              </w:rPr>
              <w:t>Запропонований</w:t>
            </w:r>
            <w:r w:rsidRPr="0030536F">
              <w:rPr>
                <w:color w:val="000000" w:themeColor="text1"/>
              </w:rPr>
              <w:t xml:space="preserve"> </w:t>
            </w:r>
            <w:r>
              <w:rPr>
                <w:color w:val="000000" w:themeColor="text1"/>
              </w:rPr>
              <w:t>Учасником</w:t>
            </w:r>
            <w:r w:rsidRPr="0030536F">
              <w:rPr>
                <w:color w:val="000000" w:themeColor="text1"/>
              </w:rPr>
              <w:t xml:space="preserve"> </w:t>
            </w:r>
            <w:r>
              <w:rPr>
                <w:color w:val="000000" w:themeColor="text1"/>
              </w:rPr>
              <w:t>товар</w:t>
            </w:r>
            <w:r w:rsidRPr="0030536F">
              <w:rPr>
                <w:color w:val="000000" w:themeColor="text1"/>
              </w:rPr>
              <w:t xml:space="preserve"> за своїми екологічними та іншими характеристиками </w:t>
            </w:r>
            <w:r>
              <w:rPr>
                <w:color w:val="000000" w:themeColor="text1"/>
              </w:rPr>
              <w:t>повинен відповідати</w:t>
            </w:r>
            <w:r w:rsidRPr="0030536F">
              <w:rPr>
                <w:color w:val="000000" w:themeColor="text1"/>
              </w:rPr>
              <w:t xml:space="preserve"> вимогам чинного законодавства та вимогам, установленим у тендерній документації.</w:t>
            </w:r>
          </w:p>
          <w:p w:rsidR="00AE4294" w:rsidRPr="00C21CBA" w:rsidRDefault="00C21CBA" w:rsidP="00C21CBA">
            <w:pPr>
              <w:pStyle w:val="a9"/>
              <w:spacing w:before="0" w:beforeAutospacing="0" w:after="0" w:afterAutospacing="0"/>
              <w:ind w:firstLine="342"/>
              <w:jc w:val="both"/>
            </w:pPr>
            <w:r w:rsidRPr="00C21CBA">
              <w:t>У складі тендерної пропозиції учасники повинні надати</w:t>
            </w:r>
            <w:r w:rsidR="00AE4294" w:rsidRPr="00C21CBA">
              <w:t>:</w:t>
            </w:r>
          </w:p>
          <w:p w:rsidR="00AE4294" w:rsidRPr="00C21CBA"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C21CBA">
              <w:t>Копію дійсного паспорту якості на товар.</w:t>
            </w:r>
          </w:p>
          <w:p w:rsidR="00AE4294" w:rsidRPr="00C21CBA"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C21CBA">
              <w:t>Копію дійсного сертифікату відповідності на товар.</w:t>
            </w:r>
          </w:p>
          <w:p w:rsidR="007B36F2" w:rsidRPr="004C5E51" w:rsidRDefault="007B36F2" w:rsidP="007B36F2">
            <w:pPr>
              <w:pStyle w:val="a9"/>
              <w:suppressAutoHyphens/>
              <w:spacing w:before="0" w:beforeAutospacing="0" w:after="0" w:afterAutospacing="0"/>
              <w:ind w:left="566"/>
              <w:jc w:val="both"/>
              <w:rPr>
                <w:rFonts w:ascii="Calibri" w:hAnsi="Calibri"/>
                <w:sz w:val="20"/>
                <w:szCs w:val="20"/>
              </w:rPr>
            </w:pP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1057A" w:rsidRPr="004C5E51" w:rsidRDefault="0031057A" w:rsidP="0031057A">
            <w:pPr>
              <w:widowControl w:val="0"/>
              <w:ind w:right="120" w:firstLine="342"/>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Не передбачено.  </w:t>
            </w:r>
          </w:p>
          <w:p w:rsidR="00502DBA" w:rsidRPr="004C5E51" w:rsidRDefault="00502DBA">
            <w:pPr>
              <w:widowControl w:val="0"/>
              <w:ind w:right="120"/>
              <w:jc w:val="both"/>
              <w:rPr>
                <w:rFonts w:ascii="Times New Roman" w:eastAsia="Times New Roman" w:hAnsi="Times New Roman" w:cs="Times New Roman"/>
                <w:sz w:val="24"/>
                <w:szCs w:val="24"/>
              </w:rPr>
            </w:pP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9F6B81">
            <w:pPr>
              <w:widowControl w:val="0"/>
              <w:ind w:left="40" w:right="120" w:firstLine="302"/>
              <w:jc w:val="both"/>
              <w:rPr>
                <w:rFonts w:ascii="Times New Roman" w:eastAsia="Times New Roman" w:hAnsi="Times New Roman" w:cs="Times New Roman"/>
                <w:sz w:val="24"/>
                <w:szCs w:val="24"/>
              </w:rPr>
            </w:pPr>
            <w:r w:rsidRPr="00B840C7">
              <w:rPr>
                <w:rFonts w:ascii="Times New Roman" w:eastAsia="Times New Roman" w:hAnsi="Times New Roman" w:cs="Times New Roman"/>
                <w:b/>
                <w:sz w:val="24"/>
                <w:szCs w:val="24"/>
              </w:rPr>
              <w:t>Кінцевий строк подання тендерних пропозицій</w:t>
            </w:r>
            <w:r w:rsidRPr="00B840C7">
              <w:rPr>
                <w:rFonts w:ascii="Times New Roman" w:eastAsia="Times New Roman" w:hAnsi="Times New Roman" w:cs="Times New Roman"/>
                <w:sz w:val="24"/>
                <w:szCs w:val="24"/>
              </w:rPr>
              <w:t xml:space="preserve"> — </w:t>
            </w:r>
            <w:r w:rsidR="00B6771D">
              <w:rPr>
                <w:rFonts w:ascii="Times New Roman" w:eastAsia="Times New Roman" w:hAnsi="Times New Roman" w:cs="Times New Roman"/>
                <w:b/>
                <w:sz w:val="24"/>
                <w:szCs w:val="24"/>
                <w:lang w:val="en-US"/>
              </w:rPr>
              <w:t>23</w:t>
            </w:r>
            <w:r w:rsidR="006B24BC" w:rsidRPr="00B840C7">
              <w:rPr>
                <w:rFonts w:ascii="Times New Roman" w:eastAsia="Times New Roman" w:hAnsi="Times New Roman" w:cs="Times New Roman"/>
                <w:b/>
                <w:sz w:val="24"/>
                <w:szCs w:val="24"/>
              </w:rPr>
              <w:t>.</w:t>
            </w:r>
            <w:r w:rsidR="006941CD">
              <w:rPr>
                <w:rFonts w:ascii="Times New Roman" w:eastAsia="Times New Roman" w:hAnsi="Times New Roman" w:cs="Times New Roman"/>
                <w:b/>
                <w:sz w:val="24"/>
                <w:szCs w:val="24"/>
                <w:lang w:val="en-US"/>
              </w:rPr>
              <w:t>0</w:t>
            </w:r>
            <w:r w:rsidR="009508D5" w:rsidRPr="00B840C7">
              <w:rPr>
                <w:rFonts w:ascii="Times New Roman" w:eastAsia="Times New Roman" w:hAnsi="Times New Roman" w:cs="Times New Roman"/>
                <w:b/>
                <w:sz w:val="24"/>
                <w:szCs w:val="24"/>
              </w:rPr>
              <w:t>1</w:t>
            </w:r>
            <w:r w:rsidRPr="00B840C7">
              <w:rPr>
                <w:rFonts w:ascii="Times New Roman" w:eastAsia="Times New Roman" w:hAnsi="Times New Roman" w:cs="Times New Roman"/>
                <w:b/>
                <w:sz w:val="24"/>
                <w:szCs w:val="24"/>
              </w:rPr>
              <w:t>.202</w:t>
            </w:r>
            <w:r w:rsidR="006941CD">
              <w:rPr>
                <w:rFonts w:ascii="Times New Roman" w:eastAsia="Times New Roman" w:hAnsi="Times New Roman" w:cs="Times New Roman"/>
                <w:b/>
                <w:sz w:val="24"/>
                <w:szCs w:val="24"/>
                <w:lang w:val="en-US"/>
              </w:rPr>
              <w:t>4</w:t>
            </w:r>
            <w:r w:rsidRPr="00B840C7">
              <w:rPr>
                <w:rFonts w:ascii="Times New Roman" w:eastAsia="Times New Roman" w:hAnsi="Times New Roman" w:cs="Times New Roman"/>
                <w:b/>
                <w:sz w:val="24"/>
                <w:szCs w:val="24"/>
              </w:rPr>
              <w:t xml:space="preserve">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4C5E51"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395B37"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ru-RU"/>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BD7F35">
              <w:rPr>
                <w:rFonts w:ascii="Times New Roman" w:eastAsia="Times New Roman" w:hAnsi="Times New Roman" w:cs="Times New Roman"/>
                <w:sz w:val="24"/>
                <w:szCs w:val="24"/>
                <w:highlight w:val="white"/>
              </w:rPr>
              <w:lastRenderedPageBreak/>
              <w:t xml:space="preserve">інформація, що містить персональні дані. </w:t>
            </w:r>
          </w:p>
          <w:p w:rsidR="007B36F2" w:rsidRPr="004C5E51" w:rsidRDefault="00BD7F35" w:rsidP="00BD7F35">
            <w:pPr>
              <w:widowControl w:val="0"/>
              <w:spacing w:line="228" w:lineRule="auto"/>
              <w:ind w:firstLine="342"/>
              <w:jc w:val="both"/>
              <w:rPr>
                <w:rFonts w:ascii="Times New Roman" w:eastAsia="Times New Roman" w:hAnsi="Times New Roman" w:cs="Times New Roman"/>
                <w:strike/>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Pr="00BD7F35" w:rsidRDefault="00BD7F35" w:rsidP="00BD7F35">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7F35" w:rsidRPr="002211E5" w:rsidRDefault="00BD7F35" w:rsidP="002211E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lastRenderedPageBreak/>
              <w:t xml:space="preserve">Такий строк може бути аргументовано продовжено замовником до 20 робочих днів. </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02DBA" w:rsidRPr="00395B37" w:rsidRDefault="00BF1AF0" w:rsidP="00BD64B8">
            <w:pPr>
              <w:widowControl w:val="0"/>
              <w:ind w:firstLine="341"/>
              <w:jc w:val="both"/>
              <w:rPr>
                <w:rFonts w:ascii="Times New Roman" w:eastAsia="Times New Roman" w:hAnsi="Times New Roman" w:cs="Times New Roman"/>
                <w:sz w:val="24"/>
                <w:szCs w:val="24"/>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904" w:rsidRPr="00027DFA" w:rsidRDefault="00F12904" w:rsidP="00F12904">
            <w:pPr>
              <w:widowControl w:val="0"/>
              <w:ind w:firstLine="342"/>
              <w:jc w:val="both"/>
              <w:rPr>
                <w:rFonts w:ascii="Times New Roman" w:eastAsia="Times New Roman" w:hAnsi="Times New Roman" w:cs="Times New Roman"/>
                <w:sz w:val="24"/>
                <w:szCs w:val="24"/>
              </w:rPr>
            </w:pPr>
            <w:r w:rsidRPr="00027DFA">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991A81" w:rsidRPr="00027DFA" w:rsidRDefault="00027DFA" w:rsidP="00991A81">
            <w:pPr>
              <w:widowControl w:val="0"/>
              <w:ind w:firstLine="340"/>
              <w:jc w:val="both"/>
              <w:rPr>
                <w:rFonts w:ascii="Times New Roman" w:eastAsia="Times New Roman" w:hAnsi="Times New Roman" w:cs="Times New Roman"/>
                <w:sz w:val="24"/>
                <w:szCs w:val="24"/>
                <w:lang w:val="en-US"/>
              </w:rPr>
            </w:pPr>
            <w:r w:rsidRPr="00027DF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w:t>
            </w:r>
            <w:proofErr w:type="spellStart"/>
            <w:r w:rsidRPr="00027DFA">
              <w:rPr>
                <w:rFonts w:ascii="Times New Roman" w:eastAsia="Times New Roman" w:hAnsi="Times New Roman" w:cs="Times New Roman"/>
                <w:sz w:val="24"/>
                <w:szCs w:val="24"/>
              </w:rPr>
              <w:t>“аномально</w:t>
            </w:r>
            <w:proofErr w:type="spellEnd"/>
            <w:r w:rsidRPr="00027DFA">
              <w:rPr>
                <w:rFonts w:ascii="Times New Roman" w:eastAsia="Times New Roman" w:hAnsi="Times New Roman" w:cs="Times New Roman"/>
                <w:sz w:val="24"/>
                <w:szCs w:val="24"/>
              </w:rPr>
              <w:t xml:space="preserve"> низька ціна тендерної </w:t>
            </w:r>
            <w:proofErr w:type="spellStart"/>
            <w:r w:rsidRPr="00027DFA">
              <w:rPr>
                <w:rFonts w:ascii="Times New Roman" w:eastAsia="Times New Roman" w:hAnsi="Times New Roman" w:cs="Times New Roman"/>
                <w:sz w:val="24"/>
                <w:szCs w:val="24"/>
              </w:rPr>
              <w:t>пропозиції”</w:t>
            </w:r>
            <w:proofErr w:type="spellEnd"/>
            <w:r w:rsidRPr="00027DFA">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313DF">
              <w:rPr>
                <w:rFonts w:ascii="Times New Roman" w:eastAsia="Times New Roman" w:hAnsi="Times New Roman" w:cs="Times New Roman"/>
                <w:sz w:val="24"/>
                <w:szCs w:val="24"/>
                <w:lang w:val="en-US"/>
              </w:rPr>
              <w:t>)</w:t>
            </w:r>
            <w:r w:rsidRPr="00027DFA">
              <w:rPr>
                <w:rFonts w:ascii="Times New Roman" w:eastAsia="Times New Roman" w:hAnsi="Times New Roman" w:cs="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C313DF">
              <w:rPr>
                <w:rFonts w:ascii="Times New Roman" w:eastAsia="Times New Roman" w:hAnsi="Times New Roman" w:cs="Times New Roman"/>
                <w:sz w:val="24"/>
                <w:szCs w:val="24"/>
                <w:lang w:val="en-US"/>
              </w:rPr>
              <w:t xml:space="preserve"> </w:t>
            </w:r>
            <w:r w:rsidRPr="00027DFA">
              <w:rPr>
                <w:rFonts w:ascii="Times New Roman" w:eastAsia="Times New Roman" w:hAnsi="Times New Roman" w:cs="Times New Roman"/>
                <w:sz w:val="24"/>
                <w:szCs w:val="24"/>
              </w:rPr>
              <w:t>тендерної пропозиції.</w:t>
            </w:r>
          </w:p>
          <w:p w:rsidR="00F12904" w:rsidRPr="00F12904" w:rsidRDefault="00F12904" w:rsidP="00F12904">
            <w:pPr>
              <w:shd w:val="clear" w:color="auto" w:fill="FFFFFF"/>
              <w:ind w:firstLine="342"/>
              <w:jc w:val="both"/>
              <w:rPr>
                <w:rFonts w:ascii="Times New Roman" w:eastAsia="Times New Roman" w:hAnsi="Times New Roman" w:cs="Times New Roman"/>
                <w:sz w:val="24"/>
                <w:szCs w:val="24"/>
                <w:highlight w:val="white"/>
              </w:rPr>
            </w:pPr>
            <w:r w:rsidRPr="00027DFA">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w:t>
            </w:r>
            <w:r w:rsidRPr="00F12904">
              <w:rPr>
                <w:rFonts w:ascii="Times New Roman" w:eastAsia="Times New Roman" w:hAnsi="Times New Roman" w:cs="Times New Roman"/>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2904" w:rsidRDefault="00F12904" w:rsidP="00F12904">
            <w:pPr>
              <w:widowControl w:val="0"/>
              <w:ind w:firstLine="3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 xml:space="preserve">протягом 24 </w:t>
            </w:r>
            <w:r w:rsidRPr="00F12904">
              <w:rPr>
                <w:rFonts w:ascii="Times New Roman" w:eastAsia="Times New Roman" w:hAnsi="Times New Roman" w:cs="Times New Roman"/>
                <w:b/>
                <w:sz w:val="24"/>
                <w:szCs w:val="24"/>
              </w:rPr>
              <w:lastRenderedPageBreak/>
              <w:t>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Pr="00F12904" w:rsidRDefault="00F12904" w:rsidP="00F12904">
            <w:pPr>
              <w:widowControl w:val="0"/>
              <w:ind w:firstLine="482"/>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w:t>
            </w:r>
            <w:r w:rsidRPr="004C5E51">
              <w:rPr>
                <w:rFonts w:ascii="Times New Roman" w:eastAsia="Times New Roman" w:hAnsi="Times New Roman" w:cs="Times New Roman"/>
                <w:sz w:val="24"/>
                <w:szCs w:val="24"/>
              </w:rPr>
              <w:lastRenderedPageBreak/>
              <w:t>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 xml:space="preserve">—   </w:t>
            </w:r>
            <w:r w:rsidRPr="004C5E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Pr="00A9056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056F">
              <w:rPr>
                <w:rFonts w:ascii="Times New Roman" w:eastAsia="Times New Roman" w:hAnsi="Times New Roman" w:cs="Times New Roman"/>
                <w:sz w:val="24"/>
                <w:szCs w:val="24"/>
                <w:highlight w:val="white"/>
              </w:rPr>
              <w:t>бенефіціарним</w:t>
            </w:r>
            <w:proofErr w:type="spellEnd"/>
            <w:r w:rsidRPr="00A9056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w:t>
            </w:r>
            <w:r w:rsidRPr="004C5E51">
              <w:rPr>
                <w:rFonts w:ascii="Times New Roman" w:eastAsia="Times New Roman" w:hAnsi="Times New Roman" w:cs="Times New Roman"/>
                <w:sz w:val="24"/>
                <w:szCs w:val="24"/>
              </w:rPr>
              <w:lastRenderedPageBreak/>
              <w:t xml:space="preserve">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w:t>
            </w:r>
            <w:r w:rsidR="00DF173E" w:rsidRPr="000B72BE">
              <w:rPr>
                <w:rFonts w:ascii="Times New Roman" w:eastAsia="Times New Roman" w:hAnsi="Times New Roman" w:cs="Times New Roman"/>
                <w:sz w:val="24"/>
                <w:szCs w:val="24"/>
                <w:lang w:val="ru-RU"/>
              </w:rPr>
              <w:t>5</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C22233" w:rsidP="00A81EBB">
            <w:pPr>
              <w:widowControl w:val="0"/>
              <w:ind w:firstLine="342"/>
              <w:jc w:val="both"/>
              <w:rPr>
                <w:rFonts w:ascii="Times New Roman" w:eastAsia="Times New Roman" w:hAnsi="Times New Roman" w:cs="Times New Roman"/>
                <w:i/>
                <w:sz w:val="20"/>
                <w:szCs w:val="20"/>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визначив конфіденційною інформацію, що не може </w:t>
            </w:r>
            <w:r w:rsidRPr="0038573A">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573A">
              <w:rPr>
                <w:rFonts w:ascii="Times New Roman" w:eastAsia="Times New Roman" w:hAnsi="Times New Roman" w:cs="Times New Roman"/>
                <w:sz w:val="24"/>
                <w:szCs w:val="24"/>
                <w:highlight w:val="white"/>
              </w:rPr>
              <w:t>бенефіціарним</w:t>
            </w:r>
            <w:proofErr w:type="spellEnd"/>
            <w:r w:rsidRPr="0038573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0D5834"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02DBA" w:rsidRPr="004C5E51" w:rsidRDefault="00BF1AF0" w:rsidP="007B4A2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tc>
      </w:tr>
      <w:tr w:rsidR="00502DBA" w:rsidRPr="004C5E51" w:rsidTr="007D2663">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A3587A" w:rsidRDefault="00A3587A" w:rsidP="00A3587A">
            <w:pPr>
              <w:widowControl w:val="0"/>
              <w:ind w:firstLine="342"/>
              <w:jc w:val="both"/>
              <w:rPr>
                <w:rFonts w:ascii="Times New Roman" w:eastAsia="Times New Roman" w:hAnsi="Times New Roman" w:cs="Times New Roman"/>
                <w:sz w:val="24"/>
                <w:szCs w:val="24"/>
                <w:highlight w:val="white"/>
              </w:rPr>
            </w:pPr>
            <w:r w:rsidRPr="00A358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Default="00BF1AF0" w:rsidP="00F95E5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663" w:rsidRPr="004C5E51" w:rsidRDefault="007D2663" w:rsidP="007D2663">
            <w:pPr>
              <w:widowControl w:val="0"/>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B56706" w:rsidRPr="00B56706" w:rsidRDefault="00B56706" w:rsidP="007D2663">
            <w:pPr>
              <w:shd w:val="clear" w:color="auto" w:fill="FFFFFF"/>
              <w:ind w:firstLine="483"/>
              <w:jc w:val="both"/>
              <w:rPr>
                <w:rFonts w:ascii="Times New Roman" w:eastAsia="Times New Roman" w:hAnsi="Times New Roman" w:cs="Times New Roman"/>
                <w:sz w:val="24"/>
                <w:szCs w:val="24"/>
              </w:rPr>
            </w:pPr>
            <w:r w:rsidRPr="00B5670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56706">
              <w:rPr>
                <w:rFonts w:ascii="Times New Roman" w:eastAsia="Times New Roman" w:hAnsi="Times New Roman" w:cs="Times New Roman"/>
                <w:sz w:val="24"/>
                <w:szCs w:val="24"/>
                <w:highlight w:val="white"/>
              </w:rPr>
              <w:t>у тому числі за результатами електронного аукціону, кр</w:t>
            </w:r>
            <w:r w:rsidRPr="00B56706">
              <w:rPr>
                <w:rFonts w:ascii="Times New Roman" w:eastAsia="Times New Roman" w:hAnsi="Times New Roman" w:cs="Times New Roman"/>
                <w:sz w:val="24"/>
                <w:szCs w:val="24"/>
              </w:rPr>
              <w:t>ім випадків: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визначення грошового еквівалента зобов’язання в іноземній валюті;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F95E56" w:rsidRPr="004C5E51">
              <w:rPr>
                <w:rFonts w:ascii="Times New Roman" w:eastAsia="Times New Roman" w:hAnsi="Times New Roman" w:cs="Times New Roman"/>
                <w:sz w:val="24"/>
                <w:szCs w:val="24"/>
              </w:rPr>
              <w:t>в товарів до кратності упаковки</w:t>
            </w:r>
            <w:r w:rsidRPr="004C5E51">
              <w:rPr>
                <w:rFonts w:ascii="Times New Roman" w:eastAsia="Times New Roman" w:hAnsi="Times New Roman" w:cs="Times New Roman"/>
                <w:sz w:val="24"/>
                <w:szCs w:val="24"/>
              </w:rPr>
              <w:t>.</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30"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r w:rsidRPr="0052784F">
              <w:rPr>
                <w:rFonts w:eastAsia="Calibri"/>
              </w:rPr>
              <w:t>1) зменшення обсягів закупівлі, зокрема з урахуванням фактичного обсягу видатків замовника;</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6" w:name="n511"/>
            <w:bookmarkEnd w:id="6"/>
            <w:r w:rsidRPr="0052784F">
              <w:rPr>
                <w:rFonts w:eastAsia="Calibri"/>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52784F">
              <w:rPr>
                <w:rFonts w:eastAsia="Calibri"/>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7" w:name="n512"/>
            <w:bookmarkEnd w:id="7"/>
            <w:r w:rsidRPr="0052784F">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8" w:name="n513"/>
            <w:bookmarkEnd w:id="8"/>
            <w:r w:rsidRPr="0052784F">
              <w:rPr>
                <w:rFonts w:eastAsia="Calibri"/>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9" w:name="n514"/>
            <w:bookmarkEnd w:id="9"/>
            <w:r w:rsidRPr="0052784F">
              <w:rPr>
                <w:rFonts w:eastAsia="Calibri"/>
              </w:rPr>
              <w:t>5) погодження зміни ціни в договорі про закупівлю в бік зменшення (без зміни кількості (обсягу) та якості товарів, робіт і послуг);</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10" w:name="n515"/>
            <w:bookmarkEnd w:id="10"/>
            <w:r w:rsidRPr="0052784F">
              <w:rPr>
                <w:rFonts w:eastAsia="Calibri"/>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11" w:name="n516"/>
            <w:bookmarkEnd w:id="11"/>
            <w:r w:rsidRPr="0052784F">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84F">
              <w:rPr>
                <w:rFonts w:eastAsia="Calibri"/>
              </w:rPr>
              <w:t>Platts</w:t>
            </w:r>
            <w:proofErr w:type="spellEnd"/>
            <w:r w:rsidRPr="0052784F">
              <w:rPr>
                <w:rFonts w:eastAsia="Calibri"/>
              </w:rPr>
              <w:t xml:space="preserve">, ARGUS, регульованих цін (тарифів), нормативів, середньозважених цін на електроенергію на ринку </w:t>
            </w:r>
            <w:proofErr w:type="spellStart"/>
            <w:r w:rsidRPr="0052784F">
              <w:rPr>
                <w:rFonts w:eastAsia="Calibri"/>
              </w:rPr>
              <w:t>“на</w:t>
            </w:r>
            <w:proofErr w:type="spellEnd"/>
            <w:r w:rsidRPr="0052784F">
              <w:rPr>
                <w:rFonts w:eastAsia="Calibri"/>
              </w:rPr>
              <w:t xml:space="preserve"> добу </w:t>
            </w:r>
            <w:proofErr w:type="spellStart"/>
            <w:r w:rsidRPr="0052784F">
              <w:rPr>
                <w:rFonts w:eastAsia="Calibri"/>
              </w:rPr>
              <w:t>наперед”</w:t>
            </w:r>
            <w:proofErr w:type="spellEnd"/>
            <w:r w:rsidRPr="0052784F">
              <w:rPr>
                <w:rFonts w:eastAsia="Calibri"/>
              </w:rPr>
              <w:t>, що застосовуються в договорі про закупівлю, у разі встановлення в договорі про закупівлю порядку зміни ціни;</w:t>
            </w:r>
          </w:p>
          <w:p w:rsidR="005C005C" w:rsidRDefault="0052784F" w:rsidP="0052784F">
            <w:pPr>
              <w:pStyle w:val="rvps2"/>
              <w:shd w:val="clear" w:color="auto" w:fill="FFFFFF"/>
              <w:spacing w:before="0" w:beforeAutospacing="0" w:after="0" w:afterAutospacing="0"/>
              <w:ind w:firstLine="568"/>
              <w:jc w:val="both"/>
              <w:rPr>
                <w:rFonts w:eastAsia="Calibri"/>
              </w:rPr>
            </w:pPr>
            <w:bookmarkStart w:id="12" w:name="n517"/>
            <w:bookmarkEnd w:id="12"/>
            <w:r w:rsidRPr="0052784F">
              <w:rPr>
                <w:rFonts w:eastAsia="Calibri"/>
              </w:rPr>
              <w:t>8) зміни умов у зв’язку із застосуванням положень </w:t>
            </w:r>
            <w:hyperlink r:id="rId31" w:anchor="n1778" w:tgtFrame="_blank" w:history="1">
              <w:r w:rsidRPr="0052784F">
                <w:rPr>
                  <w:rFonts w:eastAsia="Calibri"/>
                </w:rPr>
                <w:t>частини шостої</w:t>
              </w:r>
            </w:hyperlink>
            <w:r w:rsidRPr="0052784F">
              <w:rPr>
                <w:rFonts w:eastAsia="Calibri"/>
              </w:rPr>
              <w:t> статті 41 Закону</w:t>
            </w:r>
            <w:bookmarkStart w:id="13" w:name="_GoBack"/>
            <w:bookmarkEnd w:id="13"/>
            <w:r w:rsidR="007D2663">
              <w:rPr>
                <w:rFonts w:eastAsia="Calibri"/>
              </w:rPr>
              <w:t>;</w:t>
            </w:r>
          </w:p>
          <w:p w:rsidR="007D2663" w:rsidRDefault="007D2663" w:rsidP="007D2663">
            <w:pPr>
              <w:pStyle w:val="rvps2"/>
              <w:shd w:val="clear" w:color="auto" w:fill="FFFFFF"/>
              <w:spacing w:before="0" w:beforeAutospacing="0" w:after="0" w:afterAutospacing="0"/>
              <w:ind w:firstLine="625"/>
              <w:jc w:val="both"/>
            </w:pPr>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2" w:tgtFrame="_blank" w:history="1">
              <w:r w:rsidRPr="007D2663">
                <w:t>№ 382</w:t>
              </w:r>
            </w:hyperlink>
            <w:r w:rsidRPr="008302B7">
              <w:t> </w:t>
            </w:r>
            <w:proofErr w:type="spellStart"/>
            <w:r w:rsidRPr="008302B7">
              <w:t>“Про</w:t>
            </w:r>
            <w:proofErr w:type="spellEnd"/>
            <w:r w:rsidRPr="008302B7">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302B7">
              <w:t>Федерації”</w:t>
            </w:r>
            <w:proofErr w:type="spellEnd"/>
            <w:r w:rsidRPr="008302B7">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D2663" w:rsidRPr="008302B7" w:rsidRDefault="007D2663" w:rsidP="007D2663">
            <w:pPr>
              <w:pStyle w:val="rvps2"/>
              <w:shd w:val="clear" w:color="auto" w:fill="FFFFFF"/>
              <w:spacing w:before="0" w:beforeAutospacing="0" w:after="0" w:afterAutospacing="0"/>
              <w:ind w:firstLine="625"/>
              <w:jc w:val="both"/>
            </w:pPr>
            <w:r w:rsidRPr="00864071">
              <w:rPr>
                <w:rFonts w:ascii="IBM Plex Serif" w:hAnsi="IBM Plex Seri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3" w:tgtFrame="_blank" w:history="1">
              <w:r w:rsidRPr="00864071">
                <w:rPr>
                  <w:rFonts w:ascii="IBM Plex Serif" w:hAnsi="IBM Plex Serif"/>
                </w:rPr>
                <w:t>Закону</w:t>
              </w:r>
            </w:hyperlink>
            <w:r w:rsidRPr="00864071">
              <w:rPr>
                <w:rFonts w:ascii="IBM Plex Serif" w:hAnsi="IBM Plex Serif"/>
              </w:rPr>
              <w:t> з урахуванням цих особливостей.</w:t>
            </w:r>
          </w:p>
          <w:p w:rsidR="008A18DD" w:rsidRPr="004C5E51" w:rsidRDefault="008A18DD" w:rsidP="0052784F">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Протягом строку виконання сторонами зобов’язань </w:t>
            </w:r>
            <w:r w:rsidRPr="004C5E51">
              <w:rPr>
                <w:rFonts w:ascii="Times New Roman" w:hAnsi="Times New Roman" w:cs="Times New Roman"/>
                <w:sz w:val="24"/>
                <w:szCs w:val="24"/>
              </w:rPr>
              <w:lastRenderedPageBreak/>
              <w:t>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5C005C" w:rsidRPr="007D2663" w:rsidRDefault="008A18DD" w:rsidP="007D2663">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4" w:name="n95"/>
            <w:bookmarkEnd w:id="14"/>
            <w:r w:rsidRPr="008C4D8E">
              <w:rPr>
                <w:rFonts w:eastAsia="Calibri"/>
              </w:rPr>
              <w:t>1) коли замовник уклав договір про закупівлю з порушенням вимог, визначених </w:t>
            </w:r>
            <w:hyperlink r:id="rId34" w:anchor="n444" w:history="1">
              <w:r w:rsidRPr="008C4D8E">
                <w:rPr>
                  <w:rFonts w:eastAsia="Calibri"/>
                </w:rPr>
                <w:t>пунктом 5</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5" w:name="n533"/>
            <w:bookmarkEnd w:id="15"/>
            <w:r w:rsidRPr="008C4D8E">
              <w:rPr>
                <w:rFonts w:eastAsia="Calibri"/>
              </w:rPr>
              <w:t>2) укладення договору про закупівлю з порушенням вимог </w:t>
            </w:r>
            <w:hyperlink r:id="rId35"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6" w:name="n534"/>
            <w:bookmarkEnd w:id="16"/>
            <w:r w:rsidRPr="008C4D8E">
              <w:rPr>
                <w:rFonts w:eastAsia="Calibri"/>
              </w:rPr>
              <w:t>3) укладення договору про закупівлю в період оскарження відкритих торгів відповідно до </w:t>
            </w:r>
            <w:hyperlink r:id="rId36"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7" w:name="n535"/>
            <w:bookmarkEnd w:id="17"/>
            <w:r w:rsidRPr="008C4D8E">
              <w:rPr>
                <w:rFonts w:eastAsia="Calibri"/>
              </w:rPr>
              <w:t>4) укладення договору з порушенням строків, передбачених </w:t>
            </w:r>
            <w:hyperlink r:id="rId37" w:anchor="n638" w:history="1">
              <w:r w:rsidRPr="008C4D8E">
                <w:rPr>
                  <w:rFonts w:eastAsia="Calibri"/>
                </w:rPr>
                <w:t>абзацами третім</w:t>
              </w:r>
            </w:hyperlink>
            <w:r w:rsidRPr="008C4D8E">
              <w:rPr>
                <w:rFonts w:eastAsia="Calibri"/>
              </w:rPr>
              <w:t> та </w:t>
            </w:r>
            <w:hyperlink r:id="rId38"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39"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18" w:name="n536"/>
            <w:bookmarkEnd w:id="18"/>
            <w:r w:rsidRPr="008C4D8E">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9" w:name="n172"/>
            <w:bookmarkEnd w:id="19"/>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20" w:name="_heading=h.2s8eyo1" w:colFirst="0" w:colLast="0"/>
      <w:bookmarkEnd w:id="20"/>
    </w:p>
    <w:sectPr w:rsidR="00502DBA" w:rsidRPr="004C5E51" w:rsidSect="00873857">
      <w:footerReference w:type="default" r:id="rId40"/>
      <w:footerReference w:type="first" r:id="rId41"/>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17C" w:rsidRDefault="0072417C" w:rsidP="00502DBA">
      <w:pPr>
        <w:spacing w:after="0" w:line="240" w:lineRule="auto"/>
      </w:pPr>
      <w:r>
        <w:separator/>
      </w:r>
    </w:p>
  </w:endnote>
  <w:endnote w:type="continuationSeparator" w:id="0">
    <w:p w:rsidR="0072417C" w:rsidRDefault="0072417C"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A55DD8">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0E4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17C" w:rsidRDefault="0072417C" w:rsidP="00502DBA">
      <w:pPr>
        <w:spacing w:after="0" w:line="240" w:lineRule="auto"/>
      </w:pPr>
      <w:r>
        <w:separator/>
      </w:r>
    </w:p>
  </w:footnote>
  <w:footnote w:type="continuationSeparator" w:id="0">
    <w:p w:rsidR="0072417C" w:rsidRDefault="0072417C"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18D1"/>
    <w:rsid w:val="000045E7"/>
    <w:rsid w:val="000122C9"/>
    <w:rsid w:val="00027DFA"/>
    <w:rsid w:val="00036ED1"/>
    <w:rsid w:val="00041EF6"/>
    <w:rsid w:val="000702A0"/>
    <w:rsid w:val="00077413"/>
    <w:rsid w:val="00081B2F"/>
    <w:rsid w:val="000B604B"/>
    <w:rsid w:val="000B72BE"/>
    <w:rsid w:val="000C2B47"/>
    <w:rsid w:val="000D3D6E"/>
    <w:rsid w:val="000D5834"/>
    <w:rsid w:val="000E75BF"/>
    <w:rsid w:val="000F3A28"/>
    <w:rsid w:val="00100196"/>
    <w:rsid w:val="00107648"/>
    <w:rsid w:val="00116AEF"/>
    <w:rsid w:val="0012331D"/>
    <w:rsid w:val="00153DF6"/>
    <w:rsid w:val="00155D1C"/>
    <w:rsid w:val="00162C2B"/>
    <w:rsid w:val="00162D09"/>
    <w:rsid w:val="00165677"/>
    <w:rsid w:val="00174D94"/>
    <w:rsid w:val="00194890"/>
    <w:rsid w:val="001978B4"/>
    <w:rsid w:val="001A7D59"/>
    <w:rsid w:val="001B0547"/>
    <w:rsid w:val="001C7831"/>
    <w:rsid w:val="001D6E59"/>
    <w:rsid w:val="00200DB5"/>
    <w:rsid w:val="00206FF4"/>
    <w:rsid w:val="002211E5"/>
    <w:rsid w:val="00227447"/>
    <w:rsid w:val="0023772F"/>
    <w:rsid w:val="00257EEA"/>
    <w:rsid w:val="0026038D"/>
    <w:rsid w:val="002627CC"/>
    <w:rsid w:val="0027077E"/>
    <w:rsid w:val="002905BA"/>
    <w:rsid w:val="002B0536"/>
    <w:rsid w:val="002C4E40"/>
    <w:rsid w:val="002E678B"/>
    <w:rsid w:val="002F5A6F"/>
    <w:rsid w:val="0031057A"/>
    <w:rsid w:val="0031081F"/>
    <w:rsid w:val="00340271"/>
    <w:rsid w:val="00360E09"/>
    <w:rsid w:val="00366BD6"/>
    <w:rsid w:val="003701EB"/>
    <w:rsid w:val="00377F4E"/>
    <w:rsid w:val="0038573A"/>
    <w:rsid w:val="00395AE0"/>
    <w:rsid w:val="00395B37"/>
    <w:rsid w:val="003A7EBB"/>
    <w:rsid w:val="00403DB4"/>
    <w:rsid w:val="00434C11"/>
    <w:rsid w:val="00445A29"/>
    <w:rsid w:val="004509F6"/>
    <w:rsid w:val="00457C40"/>
    <w:rsid w:val="004718FE"/>
    <w:rsid w:val="004B0FD5"/>
    <w:rsid w:val="004B46F3"/>
    <w:rsid w:val="004B5FC8"/>
    <w:rsid w:val="004C5E51"/>
    <w:rsid w:val="004D75E3"/>
    <w:rsid w:val="004E4328"/>
    <w:rsid w:val="00502DBA"/>
    <w:rsid w:val="005122E0"/>
    <w:rsid w:val="00514612"/>
    <w:rsid w:val="0052700D"/>
    <w:rsid w:val="0052784F"/>
    <w:rsid w:val="005278E1"/>
    <w:rsid w:val="00541A22"/>
    <w:rsid w:val="00583137"/>
    <w:rsid w:val="00590E65"/>
    <w:rsid w:val="005A6FD7"/>
    <w:rsid w:val="005B24F2"/>
    <w:rsid w:val="005C005C"/>
    <w:rsid w:val="005C0789"/>
    <w:rsid w:val="005C3E16"/>
    <w:rsid w:val="005D5990"/>
    <w:rsid w:val="005E00BF"/>
    <w:rsid w:val="005E2CB3"/>
    <w:rsid w:val="005E4668"/>
    <w:rsid w:val="005F27B0"/>
    <w:rsid w:val="00615440"/>
    <w:rsid w:val="00621EBC"/>
    <w:rsid w:val="00636DD6"/>
    <w:rsid w:val="006413CD"/>
    <w:rsid w:val="00647F31"/>
    <w:rsid w:val="00654B3A"/>
    <w:rsid w:val="006571C0"/>
    <w:rsid w:val="006673F3"/>
    <w:rsid w:val="00671CB4"/>
    <w:rsid w:val="0067235A"/>
    <w:rsid w:val="00683D1C"/>
    <w:rsid w:val="00691692"/>
    <w:rsid w:val="006941CD"/>
    <w:rsid w:val="006B0081"/>
    <w:rsid w:val="006B24BC"/>
    <w:rsid w:val="006F66C5"/>
    <w:rsid w:val="007064BE"/>
    <w:rsid w:val="007155B1"/>
    <w:rsid w:val="0072417C"/>
    <w:rsid w:val="00726DC4"/>
    <w:rsid w:val="00735F54"/>
    <w:rsid w:val="0074056D"/>
    <w:rsid w:val="0075732B"/>
    <w:rsid w:val="00767EEE"/>
    <w:rsid w:val="00783686"/>
    <w:rsid w:val="00792E56"/>
    <w:rsid w:val="00793E73"/>
    <w:rsid w:val="007967CE"/>
    <w:rsid w:val="007A10B9"/>
    <w:rsid w:val="007B03DF"/>
    <w:rsid w:val="007B0DAE"/>
    <w:rsid w:val="007B1566"/>
    <w:rsid w:val="007B2DB2"/>
    <w:rsid w:val="007B36F2"/>
    <w:rsid w:val="007B4A22"/>
    <w:rsid w:val="007B6045"/>
    <w:rsid w:val="007C2AD4"/>
    <w:rsid w:val="007C49BA"/>
    <w:rsid w:val="007D2663"/>
    <w:rsid w:val="007D5D42"/>
    <w:rsid w:val="007E013F"/>
    <w:rsid w:val="007F0933"/>
    <w:rsid w:val="008024E8"/>
    <w:rsid w:val="008054F7"/>
    <w:rsid w:val="00811E57"/>
    <w:rsid w:val="00823EA0"/>
    <w:rsid w:val="0083506C"/>
    <w:rsid w:val="00842FD6"/>
    <w:rsid w:val="008455BE"/>
    <w:rsid w:val="008477F2"/>
    <w:rsid w:val="00853E2F"/>
    <w:rsid w:val="008568F8"/>
    <w:rsid w:val="0086118C"/>
    <w:rsid w:val="00864071"/>
    <w:rsid w:val="00873857"/>
    <w:rsid w:val="00882851"/>
    <w:rsid w:val="008A18DD"/>
    <w:rsid w:val="008A5800"/>
    <w:rsid w:val="008B3B51"/>
    <w:rsid w:val="008C0A29"/>
    <w:rsid w:val="008C0ED6"/>
    <w:rsid w:val="008C4D8E"/>
    <w:rsid w:val="008F2DEB"/>
    <w:rsid w:val="00913D7A"/>
    <w:rsid w:val="00913F8E"/>
    <w:rsid w:val="009263CF"/>
    <w:rsid w:val="009508D5"/>
    <w:rsid w:val="00951BF2"/>
    <w:rsid w:val="00957A4F"/>
    <w:rsid w:val="00961FC2"/>
    <w:rsid w:val="0096452B"/>
    <w:rsid w:val="009654B0"/>
    <w:rsid w:val="0097056B"/>
    <w:rsid w:val="00971955"/>
    <w:rsid w:val="00972B88"/>
    <w:rsid w:val="00973DA5"/>
    <w:rsid w:val="009760FE"/>
    <w:rsid w:val="00991A81"/>
    <w:rsid w:val="009A27EE"/>
    <w:rsid w:val="009B0418"/>
    <w:rsid w:val="009B061E"/>
    <w:rsid w:val="009B76A9"/>
    <w:rsid w:val="009E5AB1"/>
    <w:rsid w:val="009E6C31"/>
    <w:rsid w:val="009F2E2E"/>
    <w:rsid w:val="009F6B81"/>
    <w:rsid w:val="00A13C24"/>
    <w:rsid w:val="00A23423"/>
    <w:rsid w:val="00A3587A"/>
    <w:rsid w:val="00A55DD8"/>
    <w:rsid w:val="00A648ED"/>
    <w:rsid w:val="00A719B9"/>
    <w:rsid w:val="00A81EBB"/>
    <w:rsid w:val="00A9056F"/>
    <w:rsid w:val="00A9304A"/>
    <w:rsid w:val="00AA4B71"/>
    <w:rsid w:val="00AB36DC"/>
    <w:rsid w:val="00AB450D"/>
    <w:rsid w:val="00AE18B7"/>
    <w:rsid w:val="00AE2D04"/>
    <w:rsid w:val="00AE4294"/>
    <w:rsid w:val="00AF0EF1"/>
    <w:rsid w:val="00AF465D"/>
    <w:rsid w:val="00B02217"/>
    <w:rsid w:val="00B56706"/>
    <w:rsid w:val="00B60A4F"/>
    <w:rsid w:val="00B6771D"/>
    <w:rsid w:val="00B80E4B"/>
    <w:rsid w:val="00B840C7"/>
    <w:rsid w:val="00BA55E9"/>
    <w:rsid w:val="00BA658F"/>
    <w:rsid w:val="00BC3781"/>
    <w:rsid w:val="00BC769D"/>
    <w:rsid w:val="00BD64B8"/>
    <w:rsid w:val="00BD6AB8"/>
    <w:rsid w:val="00BD7F35"/>
    <w:rsid w:val="00BE0EBC"/>
    <w:rsid w:val="00BE7EB3"/>
    <w:rsid w:val="00BF1AF0"/>
    <w:rsid w:val="00C1417F"/>
    <w:rsid w:val="00C15CC3"/>
    <w:rsid w:val="00C172D6"/>
    <w:rsid w:val="00C20ACB"/>
    <w:rsid w:val="00C21CBA"/>
    <w:rsid w:val="00C22233"/>
    <w:rsid w:val="00C313DF"/>
    <w:rsid w:val="00C31E7A"/>
    <w:rsid w:val="00C34CE0"/>
    <w:rsid w:val="00C455C2"/>
    <w:rsid w:val="00C64AFF"/>
    <w:rsid w:val="00CA2819"/>
    <w:rsid w:val="00CB52AC"/>
    <w:rsid w:val="00CC116D"/>
    <w:rsid w:val="00CD7A81"/>
    <w:rsid w:val="00CF3FE0"/>
    <w:rsid w:val="00D00395"/>
    <w:rsid w:val="00D04ED3"/>
    <w:rsid w:val="00D71D5B"/>
    <w:rsid w:val="00D72AB3"/>
    <w:rsid w:val="00D80E6F"/>
    <w:rsid w:val="00DB1767"/>
    <w:rsid w:val="00DF173E"/>
    <w:rsid w:val="00DF684D"/>
    <w:rsid w:val="00E06EB5"/>
    <w:rsid w:val="00E10E5B"/>
    <w:rsid w:val="00E32032"/>
    <w:rsid w:val="00E70673"/>
    <w:rsid w:val="00E73393"/>
    <w:rsid w:val="00E82DC4"/>
    <w:rsid w:val="00EB524A"/>
    <w:rsid w:val="00EB5A6F"/>
    <w:rsid w:val="00ED42A5"/>
    <w:rsid w:val="00ED6B05"/>
    <w:rsid w:val="00EF3736"/>
    <w:rsid w:val="00EF6530"/>
    <w:rsid w:val="00F05D58"/>
    <w:rsid w:val="00F11E2B"/>
    <w:rsid w:val="00F12904"/>
    <w:rsid w:val="00F2209C"/>
    <w:rsid w:val="00F27027"/>
    <w:rsid w:val="00F32224"/>
    <w:rsid w:val="00F40F6E"/>
    <w:rsid w:val="00F4558A"/>
    <w:rsid w:val="00F9182A"/>
    <w:rsid w:val="00F937E7"/>
    <w:rsid w:val="00F94B17"/>
    <w:rsid w:val="00F95E56"/>
    <w:rsid w:val="00F96E3D"/>
    <w:rsid w:val="00FC35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 w:type="character" w:customStyle="1" w:styleId="21">
    <w:name w:val="Основной текст (2)"/>
    <w:basedOn w:val="a0"/>
    <w:rsid w:val="009654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 w:id="172656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ips.ligazakon.net/document/view/t150922?ed=2022_08_16" TargetMode="External"/><Relationship Id="rId38"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382-2023-%D0%BF"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dk21.dovidnyk.info/"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157?ed=2023_02_17&amp;an=70"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A0FCD4-6035-451D-8EE0-1EB38940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29</Pages>
  <Words>45503</Words>
  <Characters>25938</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71299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210</cp:revision>
  <dcterms:created xsi:type="dcterms:W3CDTF">2023-02-28T10:48:00Z</dcterms:created>
  <dcterms:modified xsi:type="dcterms:W3CDTF">2024-01-15T07:59:00Z</dcterms:modified>
</cp:coreProperties>
</file>