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i/>
          <w:sz w:val="24"/>
          <w:szCs w:val="24"/>
          <w:highlight w:val="green"/>
        </w:rPr>
      </w:pPr>
      <w:bookmarkStart w:id="0" w:name="_heading=h.30j0zll" w:colFirst="0" w:colLast="0"/>
      <w:bookmarkEnd w:id="0"/>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СПЕЦІАЛЬНИЙ ЦЕНТР ШВИДКОГО РЕАГУВАННЯ 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p>
    <w:p>
      <w:pPr>
        <w:spacing w:after="0" w:line="240" w:lineRule="auto"/>
        <w:ind w:left="-1418" w:leftChars="0" w:firstLine="1417" w:firstLineChars="59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yellow"/>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jc w:val="right"/>
        <w:rPr>
          <w:rFonts w:hint="default"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sz w:val="24"/>
          <w:szCs w:val="24"/>
          <w:highlight w:val="none"/>
          <w:rtl w:val="0"/>
          <w:lang w:val="uk-UA"/>
        </w:rPr>
        <w:t>від</w:t>
      </w:r>
      <w:r>
        <w:rPr>
          <w:rFonts w:hint="default" w:ascii="Times New Roman" w:hAnsi="Times New Roman" w:eastAsia="Times New Roman" w:cs="Times New Roman"/>
          <w:sz w:val="24"/>
          <w:szCs w:val="24"/>
          <w:highlight w:val="none"/>
          <w:rtl w:val="0"/>
          <w:lang w:val="uk-UA"/>
        </w:rPr>
        <w:t xml:space="preserve"> 2</w:t>
      </w:r>
      <w:r>
        <w:rPr>
          <w:rFonts w:hint="default" w:ascii="Times New Roman" w:hAnsi="Times New Roman" w:eastAsia="Times New Roman" w:cs="Times New Roman"/>
          <w:sz w:val="24"/>
          <w:szCs w:val="24"/>
          <w:highlight w:val="none"/>
          <w:rtl w:val="0"/>
          <w:lang w:val="en-US"/>
        </w:rPr>
        <w:t>1</w:t>
      </w:r>
      <w:r>
        <w:rPr>
          <w:rFonts w:ascii="Times New Roman" w:hAnsi="Times New Roman" w:eastAsia="Times New Roman" w:cs="Times New Roman"/>
          <w:sz w:val="24"/>
          <w:szCs w:val="24"/>
          <w:highlight w:val="none"/>
          <w:rtl w:val="0"/>
        </w:rPr>
        <w:t>.</w:t>
      </w:r>
      <w:r>
        <w:rPr>
          <w:rFonts w:hint="default" w:ascii="Times New Roman" w:hAnsi="Times New Roman" w:eastAsia="Times New Roman" w:cs="Times New Roman"/>
          <w:sz w:val="24"/>
          <w:szCs w:val="24"/>
          <w:highlight w:val="none"/>
          <w:rtl w:val="0"/>
          <w:lang w:val="uk-UA"/>
        </w:rPr>
        <w:t>03</w:t>
      </w:r>
      <w:r>
        <w:rPr>
          <w:rFonts w:ascii="Times New Roman" w:hAnsi="Times New Roman" w:eastAsia="Times New Roman" w:cs="Times New Roman"/>
          <w:sz w:val="24"/>
          <w:szCs w:val="24"/>
          <w:highlight w:val="none"/>
          <w:rtl w:val="0"/>
        </w:rPr>
        <w:t>.20</w:t>
      </w:r>
      <w:r>
        <w:rPr>
          <w:rFonts w:hint="default" w:ascii="Times New Roman" w:hAnsi="Times New Roman" w:eastAsia="Times New Roman" w:cs="Times New Roman"/>
          <w:sz w:val="24"/>
          <w:szCs w:val="24"/>
          <w:highlight w:val="none"/>
          <w:rtl w:val="0"/>
          <w:lang w:val="uk-UA"/>
        </w:rPr>
        <w:t>24</w:t>
      </w:r>
      <w:r>
        <w:rPr>
          <w:rFonts w:ascii="Times New Roman" w:hAnsi="Times New Roman" w:eastAsia="Times New Roman" w:cs="Times New Roman"/>
          <w:sz w:val="24"/>
          <w:szCs w:val="24"/>
          <w:highlight w:val="none"/>
          <w:rtl w:val="0"/>
        </w:rPr>
        <w:t xml:space="preserve"> №</w:t>
      </w:r>
      <w:r>
        <w:rPr>
          <w:rFonts w:hint="default" w:ascii="Times New Roman" w:hAnsi="Times New Roman" w:eastAsia="Times New Roman" w:cs="Times New Roman"/>
          <w:sz w:val="24"/>
          <w:szCs w:val="24"/>
          <w:highlight w:val="none"/>
          <w:rtl w:val="0"/>
          <w:lang w:val="uk-UA"/>
        </w:rPr>
        <w:t xml:space="preserve"> 134</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color w:val="000000"/>
          <w:sz w:val="24"/>
          <w:szCs w:val="24"/>
          <w:rtl w:val="0"/>
        </w:rPr>
        <w:t>на закупівлю</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color w:val="auto"/>
          <w:sz w:val="24"/>
          <w:szCs w:val="24"/>
          <w:highlight w:val="none"/>
          <w:rtl w:val="0"/>
        </w:rPr>
        <w:t>Товару</w:t>
      </w: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spacing w:before="240" w:after="0" w:line="240" w:lineRule="auto"/>
        <w:jc w:val="center"/>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Світлова акустична панель "Стріла Ultra Slim 118-48Led-200R-12В Синьо-Синя"</w:t>
      </w:r>
    </w:p>
    <w:p>
      <w:pPr>
        <w:spacing w:after="0" w:line="240" w:lineRule="auto"/>
        <w:jc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за ДК 021:2015 “Єдиний закупівельний словник” –</w:t>
      </w:r>
    </w:p>
    <w:p>
      <w:pPr>
        <w:spacing w:after="0" w:line="240" w:lineRule="auto"/>
        <w:jc w:val="center"/>
        <w:rPr>
          <w:rFonts w:hint="default" w:ascii="Times New Roman" w:hAnsi="Times New Roman" w:cs="Times New Roman"/>
          <w:color w:val="auto"/>
          <w:sz w:val="24"/>
          <w:szCs w:val="24"/>
          <w:lang w:val="uk-UA"/>
        </w:rPr>
      </w:pPr>
      <w:r>
        <w:rPr>
          <w:rFonts w:hint="default" w:ascii="Times New Roman" w:hAnsi="Times New Roman" w:eastAsia="Times New Roman" w:cs="Times New Roman"/>
          <w:color w:val="auto"/>
          <w:sz w:val="24"/>
          <w:szCs w:val="24"/>
          <w:lang w:val="uk-UA"/>
        </w:rPr>
        <w:t>3162</w:t>
      </w:r>
      <w:r>
        <w:rPr>
          <w:rFonts w:hint="default" w:ascii="Times New Roman" w:hAnsi="Times New Roman" w:eastAsia="Times New Roman" w:cs="Times New Roman"/>
          <w:color w:val="auto"/>
          <w:sz w:val="24"/>
          <w:szCs w:val="24"/>
        </w:rPr>
        <w:t>0000-</w:t>
      </w:r>
      <w:r>
        <w:rPr>
          <w:rFonts w:hint="default" w:ascii="Times New Roman" w:hAnsi="Times New Roman" w:eastAsia="Times New Roman" w:cs="Times New Roman"/>
          <w:color w:val="auto"/>
          <w:sz w:val="24"/>
          <w:szCs w:val="24"/>
          <w:lang w:val="uk-UA"/>
        </w:rPr>
        <w:t>8</w:t>
      </w:r>
      <w:r>
        <w:rPr>
          <w:rFonts w:hint="default" w:ascii="Times New Roman" w:hAnsi="Times New Roman" w:cs="Times New Roman"/>
          <w:color w:val="auto"/>
          <w:sz w:val="24"/>
          <w:szCs w:val="24"/>
          <w:lang w:val="uk-UA"/>
        </w:rPr>
        <w:t xml:space="preserve"> Прилади звукової та візуальної сигналізації</w:t>
      </w:r>
      <w:r>
        <w:rPr>
          <w:rFonts w:hint="default" w:ascii="Times New Roman" w:hAnsi="Times New Roman" w:eastAsia="Times New Roman" w:cs="Times New Roman"/>
          <w:color w:val="auto"/>
          <w:sz w:val="24"/>
          <w:szCs w:val="24"/>
          <w:lang w:val="uk-UA"/>
        </w:rPr>
        <w:t xml:space="preserve"> </w:t>
      </w:r>
    </w:p>
    <w:p>
      <w:pPr>
        <w:spacing w:before="240" w:after="0" w:line="240" w:lineRule="auto"/>
        <w:jc w:val="center"/>
        <w:rPr>
          <w:rFonts w:hint="default"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000000"/>
          <w:sz w:val="24"/>
          <w:szCs w:val="24"/>
          <w:highlight w:val="none"/>
        </w:rPr>
      </w:pPr>
      <w:bookmarkStart w:id="1" w:name="_heading=h.1fob9te" w:colFirst="0" w:colLast="0"/>
      <w:bookmarkEnd w:id="1"/>
      <w:r>
        <w:rPr>
          <w:rFonts w:ascii="Times New Roman" w:hAnsi="Times New Roman" w:eastAsia="Times New Roman" w:cs="Times New Roman"/>
          <w:sz w:val="24"/>
          <w:szCs w:val="24"/>
          <w:highlight w:val="none"/>
          <w:u w:val="single"/>
          <w:rtl w:val="0"/>
        </w:rPr>
        <w:t>м.</w:t>
      </w:r>
      <w:r>
        <w:rPr>
          <w:rFonts w:hint="default" w:ascii="Times New Roman" w:hAnsi="Times New Roman" w:eastAsia="Times New Roman" w:cs="Times New Roman"/>
          <w:sz w:val="24"/>
          <w:szCs w:val="24"/>
          <w:highlight w:val="none"/>
          <w:u w:val="single"/>
          <w:rtl w:val="0"/>
          <w:lang w:val="uk-UA"/>
        </w:rPr>
        <w:t xml:space="preserve"> Дрогобич</w:t>
      </w:r>
      <w:r>
        <w:rPr>
          <w:rFonts w:ascii="Times New Roman" w:hAnsi="Times New Roman" w:eastAsia="Times New Roman" w:cs="Times New Roman"/>
          <w:i/>
          <w:sz w:val="24"/>
          <w:szCs w:val="24"/>
          <w:highlight w:val="none"/>
          <w:rtl w:val="0"/>
        </w:rPr>
        <w:t xml:space="preserve"> - </w:t>
      </w:r>
      <w:r>
        <w:rPr>
          <w:rFonts w:ascii="Times New Roman" w:hAnsi="Times New Roman" w:eastAsia="Times New Roman" w:cs="Times New Roman"/>
          <w:color w:val="000000"/>
          <w:sz w:val="24"/>
          <w:szCs w:val="24"/>
          <w:highlight w:val="none"/>
          <w:rtl w:val="0"/>
        </w:rPr>
        <w:t>20</w:t>
      </w:r>
      <w:r>
        <w:rPr>
          <w:rFonts w:hint="default" w:ascii="Times New Roman" w:hAnsi="Times New Roman" w:eastAsia="Times New Roman" w:cs="Times New Roman"/>
          <w:color w:val="000000"/>
          <w:sz w:val="24"/>
          <w:szCs w:val="24"/>
          <w:highlight w:val="none"/>
          <w:rtl w:val="0"/>
          <w:lang w:val="uk-UA"/>
        </w:rPr>
        <w:t>24</w:t>
      </w:r>
      <w:r>
        <w:rPr>
          <w:rFonts w:ascii="Times New Roman" w:hAnsi="Times New Roman" w:eastAsia="Times New Roman" w:cs="Times New Roman"/>
          <w:color w:val="000000"/>
          <w:sz w:val="24"/>
          <w:szCs w:val="24"/>
          <w:highlight w:val="none"/>
          <w:rtl w:val="0"/>
        </w:rPr>
        <w:t>рік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uk-UA"/>
              </w:rPr>
              <w:t>2 Спеціальний центр швидкого реагування Державної служби України з</w:t>
            </w:r>
            <w:r>
              <w:rPr>
                <w:rFonts w:hint="default" w:ascii="Times New Roman" w:hAnsi="Times New Roman" w:eastAsia="Times New Roman" w:cs="Times New Roman"/>
                <w:i/>
                <w:sz w:val="24"/>
                <w:szCs w:val="24"/>
                <w:lang w:val="en-US"/>
              </w:rPr>
              <w:t xml:space="preserve"> </w:t>
            </w:r>
            <w:r>
              <w:rPr>
                <w:rFonts w:hint="default" w:ascii="Times New Roman" w:hAnsi="Times New Roman" w:eastAsia="Times New Roman" w:cs="Times New Roman"/>
                <w:i/>
                <w:sz w:val="24"/>
                <w:szCs w:val="24"/>
                <w:lang w:val="uk-UA"/>
              </w:rPr>
              <w:t>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i/>
                <w:color w:val="auto"/>
                <w:sz w:val="24"/>
                <w:szCs w:val="24"/>
                <w:highlight w:val="none"/>
                <w:rtl w:val="0"/>
              </w:rPr>
              <w:t>вул. С</w:t>
            </w:r>
            <w:r>
              <w:rPr>
                <w:rFonts w:hint="default" w:ascii="Times New Roman" w:hAnsi="Times New Roman" w:eastAsia="Times New Roman" w:cs="Times New Roman"/>
                <w:i/>
                <w:color w:val="auto"/>
                <w:sz w:val="24"/>
                <w:szCs w:val="24"/>
                <w:highlight w:val="none"/>
                <w:rtl w:val="0"/>
                <w:lang w:val="uk-UA"/>
              </w:rPr>
              <w:t>портивна</w:t>
            </w:r>
            <w:r>
              <w:rPr>
                <w:rFonts w:ascii="Times New Roman" w:hAnsi="Times New Roman" w:eastAsia="Times New Roman" w:cs="Times New Roman"/>
                <w:i/>
                <w:color w:val="auto"/>
                <w:sz w:val="24"/>
                <w:szCs w:val="24"/>
                <w:highlight w:val="none"/>
                <w:rtl w:val="0"/>
              </w:rPr>
              <w:t>,</w:t>
            </w:r>
            <w:r>
              <w:rPr>
                <w:rFonts w:hint="default" w:ascii="Times New Roman" w:hAnsi="Times New Roman" w:eastAsia="Times New Roman" w:cs="Times New Roman"/>
                <w:i/>
                <w:color w:val="auto"/>
                <w:sz w:val="24"/>
                <w:szCs w:val="24"/>
                <w:highlight w:val="none"/>
                <w:rtl w:val="0"/>
                <w:lang w:val="uk-UA"/>
              </w:rPr>
              <w:t xml:space="preserve"> 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i/>
                <w:color w:val="auto"/>
                <w:sz w:val="24"/>
                <w:szCs w:val="24"/>
                <w:highlight w:val="none"/>
                <w:rtl w:val="0"/>
                <w:lang w:val="uk-UA"/>
              </w:rPr>
              <w:t>Павлюк</w:t>
            </w:r>
            <w:r>
              <w:rPr>
                <w:rFonts w:hint="default" w:ascii="Times New Roman" w:hAnsi="Times New Roman" w:eastAsia="Times New Roman" w:cs="Times New Roman"/>
                <w:i/>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hint="default" w:ascii="Times New Roman" w:hAnsi="Times New Roman" w:eastAsia="Times New Roman" w:cs="Times New Roman"/>
                <w:color w:val="auto"/>
                <w:sz w:val="24"/>
                <w:szCs w:val="24"/>
                <w:highlight w:val="none"/>
                <w:lang w:val="en-US"/>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p>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телефон: </w:t>
            </w:r>
            <w:r>
              <w:rPr>
                <w:rFonts w:hint="default" w:ascii="Times New Roman" w:hAnsi="Times New Roman" w:eastAsia="Times New Roman" w:cs="Times New Roman"/>
                <w:color w:val="auto"/>
                <w:sz w:val="24"/>
                <w:szCs w:val="24"/>
                <w:highlight w:val="none"/>
                <w:rtl w:val="0"/>
                <w:lang w:val="en-US"/>
              </w:rPr>
              <w:t>0969909221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відкриті торг</w:t>
            </w:r>
            <w:r>
              <w:rPr>
                <w:rFonts w:ascii="Times New Roman" w:hAnsi="Times New Roman" w:eastAsia="Times New Roman" w:cs="Times New Roman"/>
                <w:color w:val="auto"/>
                <w:sz w:val="24"/>
                <w:szCs w:val="24"/>
                <w:rtl w:val="0"/>
              </w:rPr>
              <w:t>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tcPr>
            <w:vAlign w:val="top"/>
          </w:tcPr>
          <w:p>
            <w:pPr>
              <w:spacing w:before="240" w:after="0" w:line="240" w:lineRule="auto"/>
              <w:jc w:val="left"/>
              <w:rPr>
                <w:rFonts w:hint="default" w:ascii="Times New Roman" w:hAnsi="Times New Roman" w:eastAsia="SimSun" w:cs="Times New Roman"/>
                <w:i w:val="0"/>
                <w:iCs/>
                <w:color w:val="auto"/>
                <w:sz w:val="24"/>
                <w:szCs w:val="24"/>
              </w:rPr>
            </w:pPr>
            <w:r>
              <w:rPr>
                <w:rFonts w:ascii="Times New Roman" w:hAnsi="Times New Roman" w:eastAsia="Times New Roman" w:cs="Times New Roman"/>
                <w:i w:val="0"/>
                <w:iCs/>
                <w:color w:val="auto"/>
                <w:sz w:val="24"/>
                <w:szCs w:val="24"/>
                <w:lang w:val="uk-UA"/>
              </w:rPr>
              <w:t>Світлова</w:t>
            </w:r>
            <w:r>
              <w:rPr>
                <w:rFonts w:hint="default" w:ascii="Times New Roman" w:hAnsi="Times New Roman" w:eastAsia="Times New Roman" w:cs="Times New Roman"/>
                <w:i w:val="0"/>
                <w:iCs/>
                <w:color w:val="auto"/>
                <w:sz w:val="24"/>
                <w:szCs w:val="24"/>
                <w:lang w:val="uk-UA"/>
              </w:rPr>
              <w:t xml:space="preserve"> </w:t>
            </w:r>
            <w:r>
              <w:rPr>
                <w:rFonts w:hint="default" w:ascii="Times New Roman" w:hAnsi="Times New Roman" w:eastAsia="SimSun" w:cs="Times New Roman"/>
                <w:i w:val="0"/>
                <w:iCs/>
                <w:color w:val="auto"/>
                <w:sz w:val="24"/>
                <w:szCs w:val="24"/>
              </w:rPr>
              <w:t>акустична панель "Стріла Ultra Slim 118-48Led-200R-12В Синьо-Синя"</w:t>
            </w:r>
          </w:p>
          <w:p>
            <w:pPr>
              <w:spacing w:after="0" w:line="240" w:lineRule="auto"/>
              <w:jc w:val="left"/>
              <w:rPr>
                <w:rFonts w:hint="default" w:ascii="Times New Roman" w:hAnsi="Times New Roman" w:eastAsia="Times New Roman" w:cs="Times New Roman"/>
                <w:i w:val="0"/>
                <w:iCs/>
                <w:color w:val="auto"/>
                <w:sz w:val="24"/>
                <w:szCs w:val="24"/>
              </w:rPr>
            </w:pPr>
            <w:r>
              <w:rPr>
                <w:rFonts w:hint="default" w:ascii="Times New Roman" w:hAnsi="Times New Roman" w:eastAsia="Times New Roman" w:cs="Times New Roman"/>
                <w:i w:val="0"/>
                <w:iCs/>
                <w:color w:val="auto"/>
                <w:sz w:val="24"/>
                <w:szCs w:val="24"/>
              </w:rPr>
              <w:t>за ДК 021:2015 “Єдиний закупівельний словник” –</w:t>
            </w:r>
          </w:p>
          <w:p>
            <w:pPr>
              <w:spacing w:after="0" w:line="240" w:lineRule="auto"/>
              <w:jc w:val="left"/>
              <w:rPr>
                <w:rFonts w:hint="default" w:ascii="Times New Roman" w:hAnsi="Times New Roman" w:eastAsia="Times New Roman" w:cs="Times New Roman"/>
                <w:i w:val="0"/>
                <w:iCs/>
                <w:color w:val="auto"/>
                <w:sz w:val="24"/>
                <w:szCs w:val="24"/>
                <w:lang w:val="uk-UA"/>
              </w:rPr>
            </w:pPr>
            <w:r>
              <w:rPr>
                <w:rFonts w:hint="default" w:ascii="Times New Roman" w:hAnsi="Times New Roman" w:eastAsia="Times New Roman" w:cs="Times New Roman"/>
                <w:i w:val="0"/>
                <w:iCs/>
                <w:color w:val="auto"/>
                <w:sz w:val="24"/>
                <w:szCs w:val="24"/>
                <w:lang w:val="uk-UA"/>
              </w:rPr>
              <w:t>3162</w:t>
            </w:r>
            <w:r>
              <w:rPr>
                <w:rFonts w:hint="default" w:ascii="Times New Roman" w:hAnsi="Times New Roman" w:eastAsia="Times New Roman" w:cs="Times New Roman"/>
                <w:i w:val="0"/>
                <w:iCs/>
                <w:color w:val="auto"/>
                <w:sz w:val="24"/>
                <w:szCs w:val="24"/>
              </w:rPr>
              <w:t>0000-</w:t>
            </w:r>
            <w:r>
              <w:rPr>
                <w:rFonts w:hint="default" w:ascii="Times New Roman" w:hAnsi="Times New Roman" w:eastAsia="Times New Roman" w:cs="Times New Roman"/>
                <w:i w:val="0"/>
                <w:iCs/>
                <w:color w:val="auto"/>
                <w:sz w:val="24"/>
                <w:szCs w:val="24"/>
                <w:lang w:val="uk-UA"/>
              </w:rPr>
              <w:t>8</w:t>
            </w:r>
            <w:r>
              <w:rPr>
                <w:rFonts w:hint="default" w:ascii="Times New Roman" w:hAnsi="Times New Roman" w:cs="Times New Roman"/>
                <w:i w:val="0"/>
                <w:iCs/>
                <w:color w:val="auto"/>
                <w:sz w:val="24"/>
                <w:szCs w:val="24"/>
                <w:lang w:val="uk-UA"/>
              </w:rPr>
              <w:t xml:space="preserve"> Прилади звукової та візуальної сигналізації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кількість товару та місце його поставки </w:t>
            </w:r>
          </w:p>
        </w:tc>
        <w:tc>
          <w:p>
            <w:pPr>
              <w:widowControl w:val="0"/>
              <w:spacing w:after="0" w:line="240" w:lineRule="auto"/>
              <w:ind w:right="120"/>
              <w:jc w:val="both"/>
              <w:rPr>
                <w:rFonts w:ascii="Times New Roman" w:hAnsi="Times New Roman" w:eastAsia="Times New Roman" w:cs="Times New Roman"/>
                <w:i/>
                <w:color w:val="auto"/>
                <w:sz w:val="28"/>
                <w:szCs w:val="28"/>
                <w:highlight w:val="none"/>
              </w:rPr>
            </w:pPr>
            <w:r>
              <w:rPr>
                <w:rFonts w:ascii="Times New Roman" w:hAnsi="Times New Roman" w:eastAsia="Times New Roman" w:cs="Times New Roman"/>
                <w:color w:val="auto"/>
                <w:sz w:val="24"/>
                <w:szCs w:val="24"/>
                <w:highlight w:val="none"/>
                <w:rtl w:val="0"/>
              </w:rPr>
              <w:t xml:space="preserve">Кількість: </w:t>
            </w:r>
            <w:r>
              <w:rPr>
                <w:rFonts w:hint="default" w:ascii="Times New Roman" w:hAnsi="Times New Roman" w:eastAsia="Times New Roman" w:cs="Times New Roman"/>
                <w:i/>
                <w:iCs/>
                <w:color w:val="auto"/>
                <w:sz w:val="24"/>
                <w:szCs w:val="24"/>
                <w:highlight w:val="none"/>
                <w:rtl w:val="0"/>
                <w:lang w:val="uk-UA"/>
              </w:rPr>
              <w:t>6 комплектів</w:t>
            </w:r>
            <w:r>
              <w:rPr>
                <w:rFonts w:ascii="Times New Roman" w:hAnsi="Times New Roman" w:eastAsia="Times New Roman" w:cs="Times New Roman"/>
                <w:i/>
                <w:iCs/>
                <w:color w:val="auto"/>
                <w:sz w:val="24"/>
                <w:szCs w:val="24"/>
                <w:highlight w:val="none"/>
                <w:rtl w:val="0"/>
              </w:rPr>
              <w:t xml:space="preserve"> </w:t>
            </w:r>
          </w:p>
          <w:p>
            <w:pPr>
              <w:widowControl w:val="0"/>
              <w:spacing w:after="0" w:line="240" w:lineRule="auto"/>
              <w:ind w:right="120"/>
              <w:jc w:val="both"/>
              <w:rPr>
                <w:rFonts w:ascii="Times New Roman" w:hAnsi="Times New Roman" w:eastAsia="Times New Roman" w:cs="Times New Roman"/>
                <w:i/>
                <w:color w:val="auto"/>
                <w:sz w:val="24"/>
                <w:szCs w:val="24"/>
                <w:highlight w:val="none"/>
              </w:rPr>
            </w:pPr>
            <w:r>
              <w:rPr>
                <w:rFonts w:ascii="Times New Roman" w:hAnsi="Times New Roman" w:eastAsia="Times New Roman" w:cs="Times New Roman"/>
                <w:color w:val="auto"/>
                <w:sz w:val="24"/>
                <w:szCs w:val="24"/>
                <w:highlight w:val="none"/>
                <w:rtl w:val="0"/>
              </w:rPr>
              <w:t xml:space="preserve">Місце поставки товарів: </w:t>
            </w:r>
            <w:r>
              <w:rPr>
                <w:rFonts w:ascii="Times New Roman" w:hAnsi="Times New Roman" w:eastAsia="Times New Roman" w:cs="Times New Roman"/>
                <w:i/>
                <w:color w:val="auto"/>
                <w:sz w:val="24"/>
                <w:szCs w:val="24"/>
                <w:highlight w:val="none"/>
                <w:rtl w:val="0"/>
              </w:rPr>
              <w:t>вул. С</w:t>
            </w:r>
            <w:r>
              <w:rPr>
                <w:rFonts w:hint="default" w:ascii="Times New Roman" w:hAnsi="Times New Roman" w:eastAsia="Times New Roman" w:cs="Times New Roman"/>
                <w:i/>
                <w:color w:val="auto"/>
                <w:sz w:val="24"/>
                <w:szCs w:val="24"/>
                <w:highlight w:val="none"/>
                <w:rtl w:val="0"/>
                <w:lang w:val="uk-UA"/>
              </w:rPr>
              <w:t>портивна</w:t>
            </w:r>
            <w:r>
              <w:rPr>
                <w:rFonts w:ascii="Times New Roman" w:hAnsi="Times New Roman" w:eastAsia="Times New Roman" w:cs="Times New Roman"/>
                <w:i/>
                <w:color w:val="auto"/>
                <w:sz w:val="24"/>
                <w:szCs w:val="24"/>
                <w:highlight w:val="none"/>
                <w:rtl w:val="0"/>
              </w:rPr>
              <w:t>,</w:t>
            </w:r>
            <w:r>
              <w:rPr>
                <w:rFonts w:hint="default" w:ascii="Times New Roman" w:hAnsi="Times New Roman" w:eastAsia="Times New Roman" w:cs="Times New Roman"/>
                <w:i/>
                <w:color w:val="auto"/>
                <w:sz w:val="24"/>
                <w:szCs w:val="24"/>
                <w:highlight w:val="none"/>
                <w:rtl w:val="0"/>
                <w:lang w:val="uk-UA"/>
              </w:rPr>
              <w:t xml:space="preserve"> 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20</w:t>
            </w:r>
            <w:r>
              <w:rPr>
                <w:rFonts w:ascii="Times New Roman" w:hAnsi="Times New Roman" w:eastAsia="Times New Roman" w:cs="Times New Roman"/>
                <w:color w:val="auto"/>
                <w:sz w:val="24"/>
                <w:szCs w:val="24"/>
                <w:highlight w:val="none"/>
                <w:rtl w:val="0"/>
              </w:rPr>
              <w:t xml:space="preserve">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 xml:space="preserve">несення змін та надання роз’яснень до </w:t>
            </w:r>
            <w:bookmarkStart w:id="8" w:name="_GoBack"/>
            <w:bookmarkEnd w:id="8"/>
            <w:r>
              <w:rPr>
                <w:rFonts w:ascii="Times New Roman" w:hAnsi="Times New Roman" w:eastAsia="Times New Roman" w:cs="Times New Roman"/>
                <w:b/>
                <w:color w:val="000000"/>
                <w:sz w:val="24"/>
                <w:szCs w:val="24"/>
                <w:rtl w:val="0"/>
              </w:rPr>
              <w:t>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повинен </w:t>
            </w:r>
            <w:r>
              <w:rPr>
                <w:rFonts w:ascii="Times New Roman" w:hAnsi="Times New Roman" w:eastAsia="Times New Roman" w:cs="Times New Roman"/>
                <w:b/>
                <w:i/>
                <w:sz w:val="24"/>
                <w:szCs w:val="24"/>
                <w:highlight w:val="white"/>
                <w:rtl w:val="0"/>
              </w:rPr>
              <w:t>протягом трьох днів</w:t>
            </w:r>
            <w:r>
              <w:rPr>
                <w:rFonts w:ascii="Times New Roman" w:hAnsi="Times New Roman" w:eastAsia="Times New Roman" w:cs="Times New Roman"/>
                <w:sz w:val="24"/>
                <w:szCs w:val="24"/>
                <w:highlight w:val="white"/>
                <w:rtl w:val="0"/>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"https://zakon.rada.gov.ua/laws/show/922-19#n960" \h </w:instrText>
            </w:r>
            <w:r>
              <w:fldChar w:fldCharType="separate"/>
            </w:r>
            <w:r>
              <w:rPr>
                <w:rFonts w:ascii="Times New Roman" w:hAnsi="Times New Roman" w:eastAsia="Times New Roman" w:cs="Times New Roman"/>
                <w:sz w:val="24"/>
                <w:szCs w:val="24"/>
                <w:highlight w:val="white"/>
                <w:rtl w:val="0"/>
              </w:rPr>
              <w:t>статті 8</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tl w:val="0"/>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b/>
                <w:i/>
                <w:sz w:val="24"/>
                <w:szCs w:val="24"/>
                <w:highlight w:val="white"/>
                <w:rtl w:val="0"/>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tl w:val="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інформацією, що підтверджу</w:t>
            </w:r>
            <w:r>
              <w:rPr>
                <w:rFonts w:ascii="Times New Roman" w:hAnsi="Times New Roman" w:eastAsia="Times New Roman" w:cs="Times New Roman"/>
                <w:sz w:val="24"/>
                <w:szCs w:val="24"/>
                <w:highlight w:val="none"/>
                <w:rtl w:val="0"/>
                <w:lang w:val="uk-UA"/>
              </w:rPr>
              <w:t>є</w:t>
            </w:r>
            <w:r>
              <w:rPr>
                <w:rFonts w:ascii="Times New Roman" w:hAnsi="Times New Roman" w:eastAsia="Times New Roman" w:cs="Times New Roman"/>
                <w:sz w:val="24"/>
                <w:szCs w:val="24"/>
                <w:highlight w:val="none"/>
                <w:rtl w:val="0"/>
              </w:rPr>
              <w:t xml:space="preserve"> відповідність предмета закупівлі встановленим замовником </w:t>
            </w:r>
            <w:r>
              <w:rPr>
                <w:rFonts w:ascii="Times New Roman" w:hAnsi="Times New Roman" w:eastAsia="Times New Roman" w:cs="Times New Roman"/>
                <w:sz w:val="24"/>
                <w:szCs w:val="24"/>
                <w:highlight w:val="none"/>
                <w:rtl w:val="0"/>
                <w:lang w:val="uk-UA"/>
              </w:rPr>
              <w:t>технічним</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 xml:space="preserve">вимогам —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у разі якщо</w:t>
            </w:r>
            <w:r>
              <w:rPr>
                <w:rFonts w:ascii="Times New Roman" w:hAnsi="Times New Roman" w:eastAsia="Times New Roman" w:cs="Times New Roman"/>
                <w:sz w:val="24"/>
                <w:szCs w:val="24"/>
                <w:rtl w:val="0"/>
              </w:rPr>
              <w:t xml:space="preserve">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val="0"/>
                <w:bCs/>
                <w:sz w:val="24"/>
                <w:szCs w:val="24"/>
                <w:highlight w:val="none"/>
              </w:rPr>
            </w:pPr>
            <w:r>
              <w:rPr>
                <w:rFonts w:ascii="Times New Roman" w:hAnsi="Times New Roman" w:eastAsia="Times New Roman" w:cs="Times New Roman"/>
                <w:b w:val="0"/>
                <w:bCs/>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rPr>
                <w:rFonts w:hint="default" w:ascii="Times New Roman" w:hAnsi="Times New Roman" w:cs="Times New Roman"/>
                <w:sz w:val="24"/>
                <w:szCs w:val="24"/>
                <w:rtl w:val="0"/>
              </w:rPr>
            </w:pPr>
            <w:r>
              <w:rPr>
                <w:rFonts w:hint="default" w:ascii="Times New Roman" w:hAnsi="Times New Roman" w:cs="Times New Roman"/>
                <w:sz w:val="24"/>
                <w:szCs w:val="24"/>
                <w:rtl w:val="0"/>
                <w:lang w:val="uk-UA"/>
              </w:rPr>
              <w:t>У</w:t>
            </w:r>
            <w:r>
              <w:rPr>
                <w:rFonts w:hint="default" w:ascii="Times New Roman" w:hAnsi="Times New Roman" w:cs="Times New Roman"/>
                <w:sz w:val="24"/>
                <w:szCs w:val="24"/>
                <w:rtl w:val="0"/>
              </w:rPr>
              <w:t>часники при формуванні ціни пропозиції повинні враховувати вимоги постанови Кабінету Міністрів України № 332 від 04.04.2001 р.</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val="0"/>
                <w:bCs/>
                <w:color w:val="000000"/>
                <w:sz w:val="24"/>
                <w:szCs w:val="24"/>
                <w:highlight w:val="none"/>
              </w:rPr>
            </w:pPr>
            <w:bookmarkStart w:id="2" w:name="_heading=h.3znysh7" w:colFirst="0" w:colLast="0"/>
            <w:bookmarkEnd w:id="2"/>
            <w:r>
              <w:rPr>
                <w:rFonts w:ascii="Times New Roman" w:hAnsi="Times New Roman" w:eastAsia="Times New Roman" w:cs="Times New Roman"/>
                <w:b w:val="0"/>
                <w:bCs/>
                <w:color w:val="000000"/>
                <w:sz w:val="24"/>
                <w:szCs w:val="24"/>
                <w:highlight w:val="none"/>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val="0"/>
                <w:bCs/>
                <w:sz w:val="24"/>
                <w:szCs w:val="24"/>
                <w:highlight w:val="none"/>
                <w:rtl w:val="0"/>
              </w:rPr>
              <w:t>сом (УЕП)</w:t>
            </w:r>
            <w:r>
              <w:rPr>
                <w:rFonts w:ascii="Times New Roman" w:hAnsi="Times New Roman" w:eastAsia="Times New Roman" w:cs="Times New Roman"/>
                <w:b w:val="0"/>
                <w:bCs/>
                <w:color w:val="000000"/>
                <w:sz w:val="24"/>
                <w:szCs w:val="24"/>
                <w:highlight w:val="none"/>
                <w:rtl w:val="0"/>
              </w:rPr>
              <w:t>;</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Винятки:</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val="0"/>
                <w:bCs/>
                <w:sz w:val="24"/>
                <w:szCs w:val="24"/>
                <w:highlight w:val="none"/>
              </w:rPr>
            </w:pPr>
            <w:r>
              <w:rPr>
                <w:rFonts w:ascii="Times New Roman" w:hAnsi="Times New Roman" w:eastAsia="Times New Roman" w:cs="Times New Roman"/>
                <w:b w:val="0"/>
                <w:bCs/>
                <w:color w:val="000000"/>
                <w:sz w:val="24"/>
                <w:szCs w:val="24"/>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val="0"/>
                <w:bCs/>
                <w:sz w:val="24"/>
                <w:szCs w:val="24"/>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val="0"/>
                <w:bCs/>
                <w:color w:val="000000"/>
                <w:sz w:val="24"/>
                <w:szCs w:val="24"/>
                <w:highlight w:val="none"/>
                <w:rtl w:val="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hint="default" w:ascii="Times New Roman" w:hAnsi="Times New Roman" w:eastAsia="Times New Roman" w:cs="Times New Roman"/>
                <w:sz w:val="24"/>
                <w:szCs w:val="24"/>
                <w:lang w:val="uk-UA"/>
              </w:rPr>
            </w:pPr>
            <w:bookmarkStart w:id="5" w:name="_heading=h.ftj7vaqoric" w:colFirst="0" w:colLast="0"/>
            <w:bookmarkEnd w:id="5"/>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Тендерні пропозиції вважаються дійсними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w:t>
            </w:r>
            <w:r>
              <w:rPr>
                <w:rFonts w:ascii="Times New Roman" w:hAnsi="Times New Roman" w:eastAsia="Times New Roman" w:cs="Times New Roman"/>
                <w:sz w:val="24"/>
                <w:szCs w:val="24"/>
                <w:rtl w:val="0"/>
              </w:rPr>
              <w:t xml:space="preserve">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 і наданого забезпечення тендерної пропозиці</w:t>
            </w:r>
            <w:r>
              <w:rPr>
                <w:rFonts w:ascii="Times New Roman" w:hAnsi="Times New Roman" w:eastAsia="Times New Roman" w:cs="Times New Roman"/>
                <w:sz w:val="24"/>
                <w:szCs w:val="24"/>
                <w:highlight w:val="none"/>
                <w:rtl w:val="0"/>
              </w:rPr>
              <w:t xml:space="preserve">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Підстави, визначені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tl w:val="0"/>
              </w:rPr>
              <w:t>3</w:t>
            </w:r>
            <w:r>
              <w:rPr>
                <w:rFonts w:ascii="Times New Roman" w:hAnsi="Times New Roman" w:eastAsia="Times New Roman" w:cs="Times New Roman"/>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"https://zakon.rada.gov.ua/laws/show/2210-14#n52" \h </w:instrText>
            </w:r>
            <w:r>
              <w:fldChar w:fldCharType="separate"/>
            </w:r>
            <w:r>
              <w:rPr>
                <w:rFonts w:ascii="Times New Roman" w:hAnsi="Times New Roman" w:eastAsia="Times New Roman" w:cs="Times New Roman"/>
                <w:sz w:val="24"/>
                <w:szCs w:val="24"/>
                <w:rtl w:val="0"/>
              </w:rPr>
              <w:t>пунктом 4</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highlight w:val="none"/>
                <w:rtl w:val="0"/>
              </w:rPr>
              <w:t xml:space="preserve">Не передбачено.  </w:t>
            </w:r>
          </w:p>
          <w:p>
            <w:pPr>
              <w:widowControl w:val="0"/>
              <w:spacing w:after="0" w:line="240" w:lineRule="auto"/>
              <w:ind w:right="120"/>
              <w:jc w:val="both"/>
              <w:rPr>
                <w:rFonts w:ascii="Times New Roman" w:hAnsi="Times New Roman" w:eastAsia="Times New Roman" w:cs="Times New Roman"/>
                <w:b/>
                <w:sz w:val="24"/>
                <w:szCs w:val="24"/>
                <w:highlight w:val="none"/>
              </w:rPr>
            </w:pPr>
          </w:p>
          <w:p>
            <w:pPr>
              <w:widowControl w:val="0"/>
              <w:spacing w:after="0" w:line="240" w:lineRule="auto"/>
              <w:ind w:right="120"/>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b w:val="0"/>
                <w:bCs/>
                <w:color w:val="auto"/>
                <w:sz w:val="24"/>
                <w:szCs w:val="24"/>
                <w:highlight w:val="none"/>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r>
              <w:rPr>
                <w:rFonts w:hint="default" w:ascii="Times New Roman" w:hAnsi="Times New Roman" w:eastAsia="Times New Roman" w:cs="Times New Roman"/>
                <w:color w:val="000000"/>
                <w:sz w:val="24"/>
                <w:szCs w:val="24"/>
                <w:highlight w:val="none"/>
                <w:rtl w:val="0"/>
                <w:lang w:val="uk-UA"/>
              </w:rPr>
              <w:t>2</w:t>
            </w:r>
            <w:r>
              <w:rPr>
                <w:rFonts w:hint="default" w:ascii="Times New Roman" w:hAnsi="Times New Roman" w:eastAsia="Times New Roman" w:cs="Times New Roman"/>
                <w:color w:val="000000"/>
                <w:sz w:val="24"/>
                <w:szCs w:val="24"/>
                <w:highlight w:val="none"/>
                <w:rtl w:val="0"/>
                <w:lang w:val="en-US"/>
              </w:rPr>
              <w:t>9</w:t>
            </w:r>
            <w:r>
              <w:rPr>
                <w:rFonts w:hint="default" w:ascii="Times New Roman" w:hAnsi="Times New Roman" w:eastAsia="Times New Roman" w:cs="Times New Roman"/>
                <w:color w:val="000000"/>
                <w:sz w:val="24"/>
                <w:szCs w:val="24"/>
                <w:highlight w:val="none"/>
                <w:rtl w:val="0"/>
                <w:lang w:val="uk-UA"/>
              </w:rPr>
              <w:t xml:space="preserve"> березня</w:t>
            </w:r>
            <w:r>
              <w:rPr>
                <w:rFonts w:ascii="Times New Roman" w:hAnsi="Times New Roman" w:eastAsia="Times New Roman" w:cs="Times New Roman"/>
                <w:b w:val="0"/>
                <w:bCs/>
                <w:color w:val="auto"/>
                <w:sz w:val="24"/>
                <w:szCs w:val="24"/>
                <w:highlight w:val="none"/>
                <w:rtl w:val="0"/>
              </w:rPr>
              <w:t xml:space="preserve"> 20</w:t>
            </w:r>
            <w:r>
              <w:rPr>
                <w:rFonts w:hint="default" w:ascii="Times New Roman" w:hAnsi="Times New Roman" w:eastAsia="Times New Roman" w:cs="Times New Roman"/>
                <w:b w:val="0"/>
                <w:bCs/>
                <w:color w:val="auto"/>
                <w:sz w:val="24"/>
                <w:szCs w:val="24"/>
                <w:highlight w:val="none"/>
                <w:rtl w:val="0"/>
                <w:lang w:val="uk-UA"/>
              </w:rPr>
              <w:t>24</w:t>
            </w:r>
            <w:r>
              <w:rPr>
                <w:rFonts w:ascii="Times New Roman" w:hAnsi="Times New Roman" w:eastAsia="Times New Roman" w:cs="Times New Roman"/>
                <w:b w:val="0"/>
                <w:bCs/>
                <w:color w:val="auto"/>
                <w:sz w:val="24"/>
                <w:szCs w:val="24"/>
                <w:highlight w:val="none"/>
                <w:rtl w:val="0"/>
              </w:rPr>
              <w:t xml:space="preserve"> року, </w:t>
            </w:r>
            <w:r>
              <w:rPr>
                <w:rFonts w:hint="default" w:ascii="Times New Roman" w:hAnsi="Times New Roman" w:eastAsia="Times New Roman" w:cs="Times New Roman"/>
                <w:b w:val="0"/>
                <w:bCs/>
                <w:color w:val="auto"/>
                <w:sz w:val="24"/>
                <w:szCs w:val="24"/>
                <w:highlight w:val="none"/>
                <w:rtl w:val="0"/>
                <w:lang w:val="uk-UA"/>
              </w:rPr>
              <w:t>0</w:t>
            </w:r>
            <w:r>
              <w:rPr>
                <w:rFonts w:ascii="Times New Roman" w:hAnsi="Times New Roman" w:eastAsia="Times New Roman" w:cs="Times New Roman"/>
                <w:b w:val="0"/>
                <w:bCs/>
                <w:color w:val="auto"/>
                <w:sz w:val="24"/>
                <w:szCs w:val="24"/>
                <w:highlight w:val="none"/>
                <w:rtl w:val="0"/>
              </w:rPr>
              <w:t>0:00 год.</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Отримана тендерна пропозиція вноситься автоматично</w:t>
            </w:r>
            <w:r>
              <w:rPr>
                <w:rFonts w:ascii="Times New Roman" w:hAnsi="Times New Roman" w:eastAsia="Times New Roman" w:cs="Times New Roman"/>
                <w:sz w:val="24"/>
                <w:szCs w:val="24"/>
                <w:rtl w:val="0"/>
              </w:rPr>
              <w:t xml:space="preserve">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4A86E8"/>
                <w:sz w:val="24"/>
                <w:szCs w:val="24"/>
                <w:highlight w:val="whit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color w:val="auto"/>
                <w:sz w:val="24"/>
                <w:szCs w:val="24"/>
                <w:highlight w:val="none"/>
              </w:rPr>
            </w:pPr>
            <w:r>
              <w:rPr>
                <w:rFonts w:ascii="Times New Roman" w:hAnsi="Times New Roman" w:eastAsia="Times New Roman" w:cs="Times New Roman"/>
                <w:sz w:val="24"/>
                <w:szCs w:val="24"/>
                <w:rtl w:val="0"/>
              </w:rPr>
              <w:t xml:space="preserve">Учасник визначає ціни на </w:t>
            </w:r>
            <w:r>
              <w:rPr>
                <w:rFonts w:ascii="Times New Roman" w:hAnsi="Times New Roman" w:eastAsia="Times New Roman" w:cs="Times New Roman"/>
                <w:b w:val="0"/>
                <w:bCs/>
                <w:color w:val="auto"/>
                <w:sz w:val="24"/>
                <w:szCs w:val="24"/>
                <w:highlight w:val="none"/>
                <w:rtl w:val="0"/>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whit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sz w:val="24"/>
                <w:szCs w:val="24"/>
                <w:highlight w:val="white"/>
                <w:rtl w:val="0"/>
                <w:lang w:val="uk-UA"/>
              </w:rPr>
              <w:t>0,5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eastAsia="Times New Roman" w:cs="Times New Roman"/>
                <w:color w:val="auto"/>
                <w:sz w:val="24"/>
                <w:szCs w:val="24"/>
                <w:highlight w:val="white"/>
                <w:rtl w:val="0"/>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color w:val="auto"/>
                <w:sz w:val="24"/>
                <w:szCs w:val="24"/>
                <w:highlight w:val="white"/>
                <w:rtl w:val="0"/>
              </w:rPr>
              <w:t xml:space="preserve"> з</w:t>
            </w:r>
            <w:r>
              <w:rPr>
                <w:rFonts w:ascii="Times New Roman" w:hAnsi="Times New Roman" w:eastAsia="Times New Roman" w:cs="Times New Roman"/>
                <w:color w:val="auto"/>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w:t>
            </w:r>
            <w:r>
              <w:rPr>
                <w:rFonts w:ascii="Times New Roman" w:hAnsi="Times New Roman" w:eastAsia="Times New Roman" w:cs="Times New Roman"/>
                <w:sz w:val="24"/>
                <w:szCs w:val="24"/>
                <w:highlight w:val="white"/>
                <w:rtl w:val="0"/>
              </w:rPr>
              <w:t>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color w:val="auto"/>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highlight w:val="none"/>
              </w:rPr>
            </w:pPr>
          </w:p>
          <w:p>
            <w:pPr>
              <w:widowControl w:val="0"/>
              <w:spacing w:after="0" w:line="240" w:lineRule="auto"/>
              <w:jc w:val="both"/>
              <w:rPr>
                <w:rFonts w:ascii="Times New Roman" w:hAnsi="Times New Roman" w:eastAsia="Times New Roman" w:cs="Times New Roman"/>
                <w:sz w:val="24"/>
                <w:szCs w:val="24"/>
                <w:highlight w:val="none"/>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Додатки: </w:t>
      </w:r>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p>
    <w:p>
      <w:pPr>
        <w:widowControl w:val="0"/>
        <w:spacing w:after="0" w:line="240" w:lineRule="auto"/>
        <w:jc w:val="both"/>
        <w:rPr>
          <w:rFonts w:ascii="Times New Roman" w:hAnsi="Times New Roman" w:eastAsia="Times New Roman" w:cs="Times New Roman"/>
          <w:b w:val="0"/>
          <w:bCs w:val="0"/>
          <w:sz w:val="24"/>
          <w:szCs w:val="24"/>
          <w:highlight w:val="white"/>
        </w:rPr>
      </w:pPr>
      <w:r>
        <w:rPr>
          <w:rFonts w:ascii="Times New Roman" w:hAnsi="Times New Roman" w:eastAsia="Times New Roman" w:cs="Times New Roman"/>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ascii="Times New Roman" w:hAnsi="Times New Roman" w:eastAsia="Times New Roman" w:cs="Times New Roman"/>
          <w:b w:val="0"/>
          <w:bCs w:val="0"/>
          <w:color w:val="000000"/>
          <w:sz w:val="24"/>
          <w:szCs w:val="24"/>
          <w:rtl w:val="0"/>
          <w:lang w:val="uk-UA"/>
        </w:rPr>
        <w:t>Учасника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spacing w:before="240" w:after="0" w:line="240" w:lineRule="auto"/>
        <w:jc w:val="left"/>
        <w:rPr>
          <w:rFonts w:hint="default" w:ascii="Times New Roman" w:hAnsi="Times New Roman" w:eastAsia="Times New Roman" w:cs="Times New Roman"/>
          <w:b/>
          <w:i/>
          <w:color w:val="000000"/>
          <w:sz w:val="24"/>
          <w:szCs w:val="24"/>
          <w:lang w:val="uk-UA"/>
        </w:rPr>
      </w:pPr>
      <w:r>
        <w:rPr>
          <w:rFonts w:ascii="Times New Roman" w:hAnsi="Times New Roman" w:eastAsia="Times New Roman" w:cs="Times New Roman"/>
          <w:sz w:val="24"/>
          <w:szCs w:val="24"/>
          <w:highlight w:val="white"/>
          <w:rtl w:val="0"/>
        </w:rPr>
        <w:t xml:space="preserve">2. Додаток 2 до тендерної документації </w:t>
      </w:r>
      <w:r>
        <w:rPr>
          <w:rFonts w:hint="default" w:ascii="Times New Roman" w:hAnsi="Times New Roman" w:eastAsia="Times New Roman" w:cs="Times New Roman"/>
          <w:sz w:val="24"/>
          <w:szCs w:val="24"/>
          <w:highlight w:val="white"/>
          <w:rtl w:val="0"/>
          <w:lang w:val="uk-UA"/>
        </w:rPr>
        <w:t>“</w:t>
      </w:r>
      <w:r>
        <w:rPr>
          <w:rFonts w:ascii="Times New Roman" w:hAnsi="Times New Roman" w:eastAsia="Times New Roman" w:cs="Times New Roman"/>
          <w:b w:val="0"/>
          <w:bCs/>
          <w:i w:val="0"/>
          <w:iCs/>
          <w:color w:val="000000"/>
          <w:sz w:val="24"/>
          <w:szCs w:val="24"/>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i w:val="0"/>
          <w:iCs/>
          <w:color w:val="000000"/>
          <w:sz w:val="24"/>
          <w:szCs w:val="24"/>
          <w:highlight w:val="white"/>
          <w:rtl w:val="0"/>
          <w:lang w:val="uk-UA"/>
        </w:rPr>
        <w:t>”</w:t>
      </w:r>
    </w:p>
    <w:p>
      <w:pPr>
        <w:widowControl w:val="0"/>
        <w:spacing w:after="0" w:line="240" w:lineRule="auto"/>
        <w:jc w:val="both"/>
        <w:rPr>
          <w:rFonts w:ascii="Times New Roman" w:hAnsi="Times New Roman" w:eastAsia="Times New Roman" w:cs="Times New Roman"/>
          <w:sz w:val="24"/>
          <w:szCs w:val="24"/>
          <w:highlight w:val="white"/>
        </w:rPr>
      </w:pPr>
    </w:p>
    <w:p>
      <w:pPr>
        <w:numPr>
          <w:ilvl w:val="0"/>
          <w:numId w:val="2"/>
        </w:numPr>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“Проект договору про закупівлю товару”</w:t>
      </w:r>
    </w:p>
    <w:p>
      <w:pPr>
        <w:numPr>
          <w:ilvl w:val="0"/>
          <w:numId w:val="2"/>
        </w:numPr>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Variable Small">
    <w:panose1 w:val="00000000000000000000"/>
    <w:charset w:val="00"/>
    <w:family w:val="auto"/>
    <w:pitch w:val="default"/>
    <w:sig w:usb0="A00002FF" w:usb1="0000000B" w:usb2="00000000" w:usb3="00000000" w:csb0="2000019F" w:csb1="00000000"/>
  </w:font>
  <w:font w:name="Segoe UI Variable Text Semibold">
    <w:panose1 w:val="00000000000000000000"/>
    <w:charset w:val="00"/>
    <w:family w:val="auto"/>
    <w:pitch w:val="default"/>
    <w:sig w:usb0="A00002FF" w:usb1="0000000B" w:usb2="00000000" w:usb3="00000000" w:csb0="2000019F" w:csb1="00000000"/>
  </w:font>
  <w:font w:name="Sitka Small">
    <w:panose1 w:val="00000000000000000000"/>
    <w:charset w:val="00"/>
    <w:family w:val="auto"/>
    <w:pitch w:val="default"/>
    <w:sig w:usb0="A00002EF" w:usb1="4000204B" w:usb2="00000000" w:usb3="00000000" w:csb0="2000019F" w:csb1="00000000"/>
  </w:font>
  <w:font w:name="Sitka Text Semibold">
    <w:panose1 w:val="00000000000000000000"/>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5931"/>
    <w:multiLevelType w:val="singleLevel"/>
    <w:tmpl w:val="AE435931"/>
    <w:lvl w:ilvl="0" w:tentative="0">
      <w:start w:val="3"/>
      <w:numFmt w:val="decimal"/>
      <w:suff w:val="space"/>
      <w:lvlText w:val="%1."/>
      <w:lvlJc w:val="left"/>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C268B1"/>
    <w:rsid w:val="0AA07B7F"/>
    <w:rsid w:val="1D377BB7"/>
    <w:rsid w:val="1D9807AA"/>
    <w:rsid w:val="2A173C3B"/>
    <w:rsid w:val="434A01B3"/>
    <w:rsid w:val="51FB0396"/>
    <w:rsid w:val="5E755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qFormat/>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qFormat/>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2024-03-21T08:38:19Z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44CE5389A83B48A1879120A12AAEEA10_12</vt:lpwstr>
  </property>
</Properties>
</file>