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19" w:rsidRDefault="00130619" w:rsidP="0013061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№ 2 до тендерної документації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619" w:rsidRDefault="00130619" w:rsidP="00130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 про необхідні технічні, якісні та кількісні характеристики предмету закупівлі: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619" w:rsidRDefault="00130619" w:rsidP="00130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(технічне обслуговування і ремонт офісної техніки)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ДК 021:2015:50310000-1 - технічне обслуговування і ремонт офісної техніки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7655"/>
        <w:gridCol w:w="1843"/>
      </w:tblGrid>
      <w:tr w:rsidR="00130619" w:rsidTr="0013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Кіл-ть</w:t>
            </w:r>
            <w:proofErr w:type="spellEnd"/>
          </w:p>
        </w:tc>
      </w:tr>
      <w:tr w:rsidR="00130619" w:rsidTr="0013061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Технічне обслуговування</w:t>
            </w:r>
          </w:p>
        </w:tc>
      </w:tr>
      <w:tr w:rsidR="00130619" w:rsidTr="0013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ремонт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БФП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130619" w:rsidTr="0013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Поточний ремонт та технічне обслуговування БФП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130619" w:rsidTr="0013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Поточний ремонт та технічне 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лазерного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130619" w:rsidTr="0013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Поточний ремонт та технічне обслуговування лазерного принтера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130619" w:rsidTr="0013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Поточний ремонт та технічне обслуговування лазерного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130619" w:rsidTr="0013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Технічне обслуговування системного блоку (без запчастин)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0619" w:rsidTr="0013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Заміна драм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OKI 412/432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9" w:rsidRDefault="0013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619" w:rsidRDefault="00130619" w:rsidP="00130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Учасник повинен надати у складі своєї тендерної пропозиції документи, які підтверджують відповідність послуг, що надаються, згідно вимог Замовника: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Гарантійний лист, складений в довільній формі , який підтверджує вимоги замовника, а саме: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 формуванні ціни пропозиції, Учасник включає до вартості послуг вартість запчастин, які потребують заміни в результаті ремонту ( якщо потрібно) для повного відновлення працездатності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оплату роботи працівників, затрати на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транспортування, страхування, навантаження, розвантаження, сплату податків і зборів (обов’язкових платежів) тощо.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Адреса виконання договору з обслуговування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Полтавська область, м. Полтава, вул.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Матвійчука Юліана, 63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Учасник в складі пропозиції надає гарантійний лист, в якому вказується: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рік виготовлення запропонованих витратних матеріалів та запчастин – не раніше 2020р., 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гарантійні обов’язки  на запропоновані витратні матеріали та запчастини - не менше 12 місяців, 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Учасник в складі пропозиції надає копії сертифікатів міжнародного зразка, про наявність у виробника (або імпортера) запропонованих для виконання послуг витратних матеріалів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фотоциліндрів</w:t>
      </w:r>
      <w:proofErr w:type="spellEnd"/>
      <w:r>
        <w:rPr>
          <w:rFonts w:ascii="Times New Roman" w:hAnsi="Times New Roman" w:cs="Times New Roman"/>
          <w:sz w:val="28"/>
          <w:szCs w:val="28"/>
        </w:rPr>
        <w:t>), системи управління якістю ISO 9001:2015 та системи екологічного управління ISO 14001:2015, виданих органом з сертифікації систем менеджменту, який офіційно акредитований Національним агентством з акредитації України, дійсних на момент подання пропозицій. Надати копію атестату про акредитацію організації, яка сертифікувала системи менеджменту, у відповідності до вимог ДСТУ EN ISO/IEC 17021-1:2017 (ISO/IEC 17021-1:2015).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Витратні матеріали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фотоциліндри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які використовуватимуться при наданні послуг, повинні бути новими, не перебувати під забороною відчуження, арештом, не бути предметом застави, а також не бути предметом будь-якого іншого обтяження чи обмеження, передбаченого чинним в Україні законодавством, щодо походження товарів з країн стосовно яких діє Закон України «Про санкції» від 14.08.2014 № 1644-VII  та тимчасово окупованих територій. 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підтвердження учасник має надати: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Сертифікати походження товарів на витратні матеріали (або сировину для виробництва витратних матеріалів), які будуть використані для виконання робіт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фотоциліндри</w:t>
      </w:r>
      <w:proofErr w:type="spellEnd"/>
      <w:r>
        <w:rPr>
          <w:rFonts w:ascii="Times New Roman" w:hAnsi="Times New Roman" w:cs="Times New Roman"/>
          <w:sz w:val="28"/>
          <w:szCs w:val="28"/>
        </w:rPr>
        <w:t>), видані уповноваженою установою виробнику зазначених витратних матеріалів, відповідно до законодавства країни походження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Копії висновків державної санітарно-епідеміологічної експертизи на витратні матеріали запропонованих виробників, відповідно сертифікату походження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фотоциліндри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які використовуватимуться при наданні послуг з заправки/відновлення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картриджів, є безпечними для оточуючого персоналу та застосування за призначенням, дійсні на момент розкриття пропозицій.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В разі якщо Учасник не є виробником (або імпортером) витратних матеріалів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фотоциліндрів</w:t>
      </w:r>
      <w:proofErr w:type="spellEnd"/>
      <w:r>
        <w:rPr>
          <w:rFonts w:ascii="Times New Roman" w:hAnsi="Times New Roman" w:cs="Times New Roman"/>
          <w:sz w:val="28"/>
          <w:szCs w:val="28"/>
        </w:rPr>
        <w:t>), необхідно додатково надати у складі своєї пропозиції оригінал листа авторизації Учасника, в якому буде зазначено, що учасник є авторизованим партнером або офіційним представником виробника (або імпортера). Даний лист повинен бути адресований Замовнику торгів та містити ідентифікатор закупівлі та назву предмету закупівлі.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Копія сертифікату виробника (або імпортера)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тонеру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який підтверджує його кваліфікацію  по застосування методів тестування якості відповідно до методів випробувань ASTM / STMC.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 Документи про застосування виробником (або імпортером) запчастин та комплектуючих для друкуючого обладнання, що використовуються для надання послуг, заходів із захисту довкілля. Довідка в довільній формі про утилізацію відпрацьованих витратних матеріалів та запчастин, з наданням документальних підтверджень дійсних на момент подання пропозицій (надати підтверджуючий акт(и) протягом попереднього календарного року, щодо послуг з управління відходами – збирання, поводження, зберігання відходів):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Копії чинних договорів з компаніями, які мають відповідні ліцензії на поводження з відходами (збирання, зберігання, оброблення, утилізацію, знешкодження);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Копії сертифікатів компанії, яка має відповідну ліцензію на поводження з відходами (збирання, зберігання, оброблення, утилізацію, знешкодження), про наявність впровадженої системи управління якістю ISO 9001:2015 та системи екологічного управління ISO 14001:2015;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Документи підтверджуючі радіаційну безпеку витратних матеріалів, що використовуються учасником: Копії протоколів про проведення випробувань та визначення радіологічних показників безпеки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яким буде проводитися заправка картриджів замовника, що виданий органом з оцінки відповідності на радіаційну безпеку на його офіційному бланку та за встановленою їм формою.</w:t>
      </w:r>
    </w:p>
    <w:p w:rsidR="00130619" w:rsidRDefault="00130619" w:rsidP="00130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86E" w:rsidRDefault="004C086E">
      <w:bookmarkStart w:id="0" w:name="_GoBack"/>
      <w:bookmarkEnd w:id="0"/>
    </w:p>
    <w:sectPr w:rsidR="004C0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B"/>
    <w:rsid w:val="00130619"/>
    <w:rsid w:val="004C086E"/>
    <w:rsid w:val="00E2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19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1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19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1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2024-03-13T07:38:00Z</dcterms:created>
  <dcterms:modified xsi:type="dcterms:W3CDTF">2024-03-13T07:38:00Z</dcterms:modified>
</cp:coreProperties>
</file>