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681B69" w:rsidP="009B3B5E">
      <w:pPr>
        <w:ind w:firstLine="567"/>
        <w:jc w:val="both"/>
        <w:rPr>
          <w:rFonts w:ascii="Times New Roman" w:hAnsi="Times New Roman" w:cs="Times New Roman"/>
          <w:sz w:val="20"/>
          <w:szCs w:val="20"/>
          <w:lang w:val="uk-UA"/>
        </w:rPr>
      </w:pPr>
      <w:r w:rsidRPr="00681B69">
        <w:rPr>
          <w:rFonts w:ascii="Times New Roman" w:hAnsi="Times New Roman" w:cs="Times New Roman"/>
          <w:sz w:val="20"/>
          <w:szCs w:val="20"/>
          <w:lang w:val="uk-UA"/>
        </w:rPr>
        <w:t>Хмельницький заклад дошкільної освіти №1 "</w:t>
      </w:r>
      <w:proofErr w:type="spellStart"/>
      <w:r w:rsidRPr="00681B69">
        <w:rPr>
          <w:rFonts w:ascii="Times New Roman" w:hAnsi="Times New Roman" w:cs="Times New Roman"/>
          <w:sz w:val="20"/>
          <w:szCs w:val="20"/>
          <w:lang w:val="uk-UA"/>
        </w:rPr>
        <w:t>Капітошка</w:t>
      </w:r>
      <w:proofErr w:type="spellEnd"/>
      <w:r w:rsidRPr="00681B69">
        <w:rPr>
          <w:rFonts w:ascii="Times New Roman" w:hAnsi="Times New Roman" w:cs="Times New Roman"/>
          <w:sz w:val="20"/>
          <w:szCs w:val="20"/>
          <w:lang w:val="uk-UA"/>
        </w:rPr>
        <w:t xml:space="preserve">", в особі директора </w:t>
      </w:r>
      <w:proofErr w:type="spellStart"/>
      <w:r w:rsidRPr="00681B69">
        <w:rPr>
          <w:rFonts w:ascii="Times New Roman" w:hAnsi="Times New Roman" w:cs="Times New Roman"/>
          <w:sz w:val="20"/>
          <w:szCs w:val="20"/>
          <w:lang w:val="uk-UA"/>
        </w:rPr>
        <w:t>Барчук</w:t>
      </w:r>
      <w:proofErr w:type="spellEnd"/>
      <w:r w:rsidRPr="00681B69">
        <w:rPr>
          <w:rFonts w:ascii="Times New Roman" w:hAnsi="Times New Roman" w:cs="Times New Roman"/>
          <w:sz w:val="20"/>
          <w:szCs w:val="20"/>
          <w:lang w:val="uk-UA"/>
        </w:rPr>
        <w:t xml:space="preserve"> Наталії Володимирівни, що діє на підставі Статуту</w:t>
      </w:r>
      <w:r w:rsidR="009B3B5E" w:rsidRPr="006E1016">
        <w:rPr>
          <w:rFonts w:ascii="Times New Roman" w:hAnsi="Times New Roman" w:cs="Times New Roman"/>
          <w:sz w:val="20"/>
          <w:szCs w:val="20"/>
          <w:lang w:val="uk-UA"/>
        </w:rPr>
        <w:t xml:space="preserve">,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262201">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6E1016">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w:t>
      </w:r>
      <w:r w:rsidRPr="00BC1B23">
        <w:rPr>
          <w:rFonts w:ascii="Times New Roman" w:hAnsi="Times New Roman" w:cs="Times New Roman"/>
          <w:sz w:val="20"/>
          <w:szCs w:val="20"/>
          <w:lang w:val="uk-UA"/>
        </w:rPr>
        <w:lastRenderedPageBreak/>
        <w:t>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BC1B23">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xml:space="preserve">. У випадку несвоєчасного виставлення Постачальником рахунка на оплату, або наявності в ньому </w:t>
      </w:r>
      <w:r w:rsidRPr="006E1016">
        <w:rPr>
          <w:rFonts w:ascii="Times New Roman" w:hAnsi="Times New Roman" w:cs="Times New Roman"/>
          <w:sz w:val="20"/>
          <w:szCs w:val="20"/>
          <w:lang w:val="uk-UA"/>
        </w:rPr>
        <w:lastRenderedPageBreak/>
        <w:t>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9.3 Постачальник відшкодовує Споживачу збитки, понесені Споживачем у зв'язку з припиненням постачання </w:t>
      </w:r>
      <w:r w:rsidRPr="006E1016">
        <w:rPr>
          <w:rFonts w:ascii="Times New Roman" w:hAnsi="Times New Roman" w:cs="Times New Roman"/>
          <w:sz w:val="20"/>
          <w:szCs w:val="20"/>
          <w:lang w:val="uk-UA"/>
        </w:rPr>
        <w:lastRenderedPageBreak/>
        <w:t>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9B35B3" w:rsidRPr="009B35B3">
        <w:rPr>
          <w:rFonts w:ascii="Times New Roman" w:hAnsi="Times New Roman" w:cs="Times New Roman"/>
          <w:sz w:val="20"/>
          <w:szCs w:val="20"/>
          <w:lang w:val="uk-UA"/>
        </w:rPr>
        <w:lastRenderedPageBreak/>
        <w:t>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w:t>
      </w:r>
      <w:r w:rsidRPr="009B35B3">
        <w:rPr>
          <w:rFonts w:ascii="Times New Roman" w:hAnsi="Times New Roman" w:cs="Times New Roman"/>
          <w:sz w:val="20"/>
          <w:szCs w:val="20"/>
          <w:lang w:val="uk-UA"/>
        </w:rPr>
        <w:lastRenderedPageBreak/>
        <w:t>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681B69" w:rsidRDefault="00681B69" w:rsidP="00681B69">
            <w:pPr>
              <w:spacing w:line="264" w:lineRule="auto"/>
              <w:rPr>
                <w:rFonts w:ascii="Times New Roman" w:hAnsi="Times New Roman" w:cs="Times New Roman"/>
                <w:b/>
                <w:spacing w:val="-1"/>
                <w:sz w:val="20"/>
                <w:szCs w:val="20"/>
                <w:u w:val="single"/>
                <w:lang w:val="uk-UA"/>
              </w:rPr>
            </w:pPr>
            <w:r w:rsidRPr="00681B69">
              <w:rPr>
                <w:rFonts w:ascii="Times New Roman" w:hAnsi="Times New Roman" w:cs="Times New Roman"/>
                <w:b/>
                <w:color w:val="000000"/>
                <w:kern w:val="3"/>
                <w:sz w:val="22"/>
                <w:szCs w:val="22"/>
                <w:lang w:val="uk-UA" w:eastAsia="ru-RU"/>
              </w:rPr>
              <w:t>Хмельницьк</w:t>
            </w:r>
            <w:r>
              <w:rPr>
                <w:rFonts w:ascii="Times New Roman" w:hAnsi="Times New Roman" w:cs="Times New Roman"/>
                <w:b/>
                <w:color w:val="000000"/>
                <w:kern w:val="3"/>
                <w:sz w:val="22"/>
                <w:szCs w:val="22"/>
                <w:lang w:val="uk-UA" w:eastAsia="ru-RU"/>
              </w:rPr>
              <w:t>ий заклад дошкільної освіти №1 «</w:t>
            </w:r>
            <w:proofErr w:type="spellStart"/>
            <w:r w:rsidRPr="00681B69">
              <w:rPr>
                <w:rFonts w:ascii="Times New Roman" w:hAnsi="Times New Roman" w:cs="Times New Roman"/>
                <w:b/>
                <w:color w:val="000000"/>
                <w:kern w:val="3"/>
                <w:sz w:val="22"/>
                <w:szCs w:val="22"/>
                <w:lang w:val="uk-UA" w:eastAsia="ru-RU"/>
              </w:rPr>
              <w:t>Капітошка</w:t>
            </w:r>
            <w:proofErr w:type="spellEnd"/>
            <w:r>
              <w:rPr>
                <w:rFonts w:ascii="Times New Roman" w:hAnsi="Times New Roman" w:cs="Times New Roman"/>
                <w:b/>
                <w:color w:val="000000"/>
                <w:kern w:val="3"/>
                <w:sz w:val="22"/>
                <w:szCs w:val="22"/>
                <w:lang w:val="uk-UA" w:eastAsia="ru-RU"/>
              </w:rPr>
              <w:t>»</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DD03B3" w:rsidTr="00876268">
        <w:trPr>
          <w:trHeight w:val="889"/>
        </w:trPr>
        <w:tc>
          <w:tcPr>
            <w:tcW w:w="5003" w:type="dxa"/>
            <w:shd w:val="clear" w:color="auto" w:fill="auto"/>
          </w:tcPr>
          <w:p w:rsidR="00681B69" w:rsidRDefault="00681B69" w:rsidP="00681B69">
            <w:pPr>
              <w:pStyle w:val="Standard"/>
            </w:pPr>
            <w:r>
              <w:t>Код за ЄДРПОУ</w:t>
            </w:r>
            <w:r>
              <w:rPr>
                <w:b/>
                <w:lang w:val="uk-UA"/>
              </w:rPr>
              <w:t xml:space="preserve"> </w:t>
            </w:r>
            <w:r>
              <w:rPr>
                <w:b/>
                <w:shd w:val="clear" w:color="auto" w:fill="FFFFFF"/>
              </w:rPr>
              <w:t>35605307</w:t>
            </w:r>
          </w:p>
          <w:p w:rsidR="00681B69" w:rsidRDefault="00681B69" w:rsidP="00681B69">
            <w:pPr>
              <w:pStyle w:val="Standard"/>
              <w:jc w:val="both"/>
            </w:pPr>
            <w:r>
              <w:t>290</w:t>
            </w:r>
            <w:r>
              <w:rPr>
                <w:lang w:val="uk-UA"/>
              </w:rPr>
              <w:t>09</w:t>
            </w:r>
            <w:r>
              <w:t xml:space="preserve">, </w:t>
            </w:r>
            <w:proofErr w:type="spellStart"/>
            <w:r>
              <w:t>Україна</w:t>
            </w:r>
            <w:proofErr w:type="spellEnd"/>
            <w:r>
              <w:t xml:space="preserve">, </w:t>
            </w:r>
            <w:proofErr w:type="spellStart"/>
            <w:r>
              <w:t>Хмельницька</w:t>
            </w:r>
            <w:proofErr w:type="spellEnd"/>
            <w:r>
              <w:t xml:space="preserve"> область, </w:t>
            </w:r>
            <w:proofErr w:type="spellStart"/>
            <w:proofErr w:type="gramStart"/>
            <w:r>
              <w:t>м</w:t>
            </w:r>
            <w:proofErr w:type="gramEnd"/>
            <w:r>
              <w:t>істо</w:t>
            </w:r>
            <w:proofErr w:type="spellEnd"/>
            <w:r>
              <w:rPr>
                <w:lang w:val="uk-UA"/>
              </w:rPr>
              <w:t xml:space="preserve"> </w:t>
            </w:r>
            <w:proofErr w:type="spellStart"/>
            <w:r>
              <w:t>Хмельницький</w:t>
            </w:r>
            <w:proofErr w:type="spellEnd"/>
            <w:r>
              <w:t>,</w:t>
            </w:r>
          </w:p>
          <w:p w:rsidR="00681B69" w:rsidRDefault="00681B69" w:rsidP="00681B69">
            <w:pPr>
              <w:pStyle w:val="Standard"/>
              <w:jc w:val="both"/>
              <w:rPr>
                <w:lang w:val="uk-UA"/>
              </w:rPr>
            </w:pPr>
            <w:proofErr w:type="spellStart"/>
            <w:r>
              <w:t>вул</w:t>
            </w:r>
            <w:proofErr w:type="spellEnd"/>
            <w:r>
              <w:t xml:space="preserve">. </w:t>
            </w:r>
            <w:r>
              <w:rPr>
                <w:lang w:val="uk-UA"/>
              </w:rPr>
              <w:t>Козацька, 54/2</w:t>
            </w:r>
          </w:p>
          <w:p w:rsidR="00681B69" w:rsidRDefault="00681B69" w:rsidP="00681B69">
            <w:pPr>
              <w:pStyle w:val="Standard"/>
              <w:jc w:val="both"/>
            </w:pPr>
            <w:r>
              <w:t xml:space="preserve">Телефон </w:t>
            </w:r>
            <w:hyperlink r:id="rId9" w:history="1">
              <w:r>
                <w:rPr>
                  <w:rStyle w:val="a3"/>
                  <w:shd w:val="clear" w:color="auto" w:fill="FFFFFF"/>
                </w:rPr>
                <w:t>0382 640 851</w:t>
              </w:r>
            </w:hyperlink>
          </w:p>
          <w:p w:rsidR="00681B69" w:rsidRDefault="00681B69" w:rsidP="00681B69">
            <w:pPr>
              <w:pStyle w:val="Standard"/>
            </w:pPr>
            <w:proofErr w:type="gramStart"/>
            <w:r>
              <w:t>р</w:t>
            </w:r>
            <w:proofErr w:type="gramEnd"/>
            <w:r>
              <w:t>/р ______________________________</w:t>
            </w:r>
          </w:p>
          <w:p w:rsidR="00681B69" w:rsidRDefault="00681B69" w:rsidP="00681B69">
            <w:pPr>
              <w:pStyle w:val="Standard"/>
            </w:pPr>
            <w:proofErr w:type="gramStart"/>
            <w:r>
              <w:t>р</w:t>
            </w:r>
            <w:proofErr w:type="gramEnd"/>
            <w:r>
              <w:t>/р ______________________________</w:t>
            </w:r>
          </w:p>
          <w:p w:rsidR="00681B69" w:rsidRDefault="00681B69" w:rsidP="00681B69">
            <w:pPr>
              <w:pStyle w:val="Standard"/>
            </w:pPr>
            <w:r>
              <w:t>_________________________________</w:t>
            </w:r>
          </w:p>
          <w:p w:rsidR="00681B69" w:rsidRDefault="00681B69" w:rsidP="00681B69">
            <w:pPr>
              <w:pStyle w:val="Standard"/>
            </w:pPr>
            <w:proofErr w:type="spellStart"/>
            <w:r>
              <w:t>Державна</w:t>
            </w:r>
            <w:proofErr w:type="spellEnd"/>
            <w:r>
              <w:rPr>
                <w:lang w:val="uk-UA"/>
              </w:rPr>
              <w:t xml:space="preserve"> </w:t>
            </w:r>
            <w:proofErr w:type="spellStart"/>
            <w:r>
              <w:t>казначейська</w:t>
            </w:r>
            <w:proofErr w:type="spellEnd"/>
            <w:r>
              <w:t xml:space="preserve"> служба</w:t>
            </w:r>
          </w:p>
          <w:p w:rsidR="009B3B5E" w:rsidRPr="00681B69" w:rsidRDefault="00681B69" w:rsidP="00681B69">
            <w:pPr>
              <w:pStyle w:val="Standard"/>
              <w:rPr>
                <w:lang w:val="uk-UA"/>
              </w:rPr>
            </w:pPr>
            <w:proofErr w:type="spellStart"/>
            <w:r>
              <w:t>України</w:t>
            </w:r>
            <w:proofErr w:type="spellEnd"/>
            <w:r>
              <w:t xml:space="preserve">, </w:t>
            </w:r>
            <w:proofErr w:type="spellStart"/>
            <w:r>
              <w:t>м.Київ</w:t>
            </w:r>
            <w:proofErr w:type="spellEnd"/>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UA</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10"/>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DD03B3">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w:t>
            </w:r>
            <w:r w:rsidR="00DD03B3">
              <w:rPr>
                <w:rFonts w:ascii="Times New Roman" w:hAnsi="Times New Roman" w:cs="Times New Roman"/>
                <w:bCs/>
                <w:sz w:val="20"/>
                <w:szCs w:val="20"/>
                <w:lang w:val="uk-UA"/>
              </w:rPr>
              <w:t>3</w:t>
            </w:r>
            <w:r w:rsidRPr="00983AFD">
              <w:rPr>
                <w:rFonts w:ascii="Times New Roman" w:hAnsi="Times New Roman" w:cs="Times New Roman"/>
                <w:bCs/>
                <w:sz w:val="20"/>
                <w:szCs w:val="20"/>
                <w:lang w:val="uk-UA"/>
              </w:rPr>
              <w:t xml:space="preserve">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DD03B3">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w:t>
            </w:r>
            <w:r w:rsidR="00DD03B3">
              <w:rPr>
                <w:rFonts w:ascii="Times New Roman" w:hAnsi="Times New Roman"/>
                <w:sz w:val="20"/>
                <w:szCs w:val="20"/>
                <w:lang w:val="uk-UA"/>
              </w:rPr>
              <w:t>3</w:t>
            </w:r>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2"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2"/>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DD03B3">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sidR="00DD03B3">
              <w:rPr>
                <w:rStyle w:val="Bodytext285pt"/>
                <w:rFonts w:eastAsiaTheme="minorHAnsi"/>
                <w:sz w:val="20"/>
                <w:szCs w:val="20"/>
                <w:lang w:val="ru-RU"/>
              </w:rPr>
              <w:t>3</w:t>
            </w:r>
            <w:bookmarkStart w:id="3" w:name="_GoBack"/>
            <w:bookmarkEnd w:id="3"/>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28" w:rsidRDefault="00294728">
      <w:r>
        <w:separator/>
      </w:r>
    </w:p>
  </w:endnote>
  <w:endnote w:type="continuationSeparator" w:id="0">
    <w:p w:rsidR="00294728" w:rsidRDefault="002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142DEB">
    <w:pPr>
      <w:pStyle w:val="a4"/>
      <w:jc w:val="right"/>
    </w:pPr>
    <w:r>
      <w:fldChar w:fldCharType="begin"/>
    </w:r>
    <w:r>
      <w:instrText>PAGE   \* MERGEFORMAT</w:instrText>
    </w:r>
    <w:r>
      <w:fldChar w:fldCharType="separate"/>
    </w:r>
    <w:r w:rsidR="00DD03B3" w:rsidRPr="00DD03B3">
      <w:rPr>
        <w:noProof/>
        <w:lang w:val="uk-UA"/>
      </w:rPr>
      <w:t>13</w:t>
    </w:r>
    <w:r>
      <w:fldChar w:fldCharType="end"/>
    </w:r>
  </w:p>
  <w:p w:rsidR="0046025B" w:rsidRDefault="002947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28" w:rsidRDefault="00294728">
      <w:r>
        <w:separator/>
      </w:r>
    </w:p>
  </w:footnote>
  <w:footnote w:type="continuationSeparator" w:id="0">
    <w:p w:rsidR="00294728" w:rsidRDefault="00294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D6EE6"/>
    <w:rsid w:val="00142C37"/>
    <w:rsid w:val="00142DEB"/>
    <w:rsid w:val="001B386C"/>
    <w:rsid w:val="00262201"/>
    <w:rsid w:val="00294728"/>
    <w:rsid w:val="002D4CD8"/>
    <w:rsid w:val="005957C2"/>
    <w:rsid w:val="00681B69"/>
    <w:rsid w:val="0076466D"/>
    <w:rsid w:val="00786091"/>
    <w:rsid w:val="009802C6"/>
    <w:rsid w:val="009B35B3"/>
    <w:rsid w:val="009B3B5E"/>
    <w:rsid w:val="00B11426"/>
    <w:rsid w:val="00B15196"/>
    <w:rsid w:val="00B25671"/>
    <w:rsid w:val="00BC1B23"/>
    <w:rsid w:val="00C81150"/>
    <w:rsid w:val="00CB5F7E"/>
    <w:rsid w:val="00DD03B3"/>
    <w:rsid w:val="00F63BEC"/>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search?q=35605307&amp;rlz=1C1AVNG_enUA642UA642&amp;oq=35605307&amp;aqs=chrome..69i57j69i60l2.1586j0j7&amp;sourceid=chrome&amp;ie=UT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9</cp:revision>
  <dcterms:created xsi:type="dcterms:W3CDTF">2022-10-24T16:30:00Z</dcterms:created>
  <dcterms:modified xsi:type="dcterms:W3CDTF">2022-12-03T19:01:00Z</dcterms:modified>
</cp:coreProperties>
</file>