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60" w:firstLine="700"/>
        <w:jc w:val="right"/>
        <w:rPr>
          <w:sz w:val="24"/>
        </w:rPr>
      </w:pPr>
      <w:r>
        <w:rPr>
          <w:b/>
          <w:color w:val="000000"/>
          <w:sz w:val="24"/>
        </w:rPr>
        <w:t>ДОДАТОК 2</w:t>
      </w:r>
    </w:p>
    <w:p>
      <w:pPr>
        <w:ind w:left="5660" w:firstLine="700"/>
        <w:jc w:val="right"/>
        <w:rPr>
          <w:sz w:val="24"/>
        </w:rPr>
      </w:pPr>
      <w:r>
        <w:rPr>
          <w:i/>
          <w:color w:val="000000"/>
          <w:sz w:val="24"/>
        </w:rPr>
        <w:t>до тендерної документації</w:t>
      </w:r>
    </w:p>
    <w:p>
      <w:pPr>
        <w:contextualSpacing/>
        <w:jc w:val="center"/>
        <w:rPr>
          <w:b/>
          <w:bCs/>
          <w:sz w:val="24"/>
          <w:szCs w:val="24"/>
        </w:rPr>
      </w:pPr>
      <w:bookmarkStart w:id="0" w:name="_Hlk135309588"/>
    </w:p>
    <w:p>
      <w:pPr>
        <w:contextualSpacing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sz w:val="24"/>
          <w:szCs w:val="24"/>
        </w:rPr>
        <w:t>Інформація про необхідні технічні та якісні  характеристики предмета закупівлі та технічна специфікація до предмета закупівлі</w:t>
      </w:r>
      <w:bookmarkEnd w:id="0"/>
      <w:r>
        <w:rPr>
          <w:b/>
          <w:bCs/>
          <w:i/>
          <w:iCs/>
          <w:sz w:val="20"/>
          <w:szCs w:val="20"/>
        </w:rPr>
        <w:t xml:space="preserve"> </w:t>
      </w:r>
    </w:p>
    <w:p>
      <w:pPr>
        <w:jc w:val="center"/>
        <w:rPr>
          <w:rFonts w:cstheme="minorBidi"/>
          <w:b/>
          <w:bCs/>
          <w:color w:val="000000"/>
          <w:sz w:val="24"/>
          <w:szCs w:val="24"/>
        </w:rPr>
      </w:pPr>
    </w:p>
    <w:p>
      <w:pPr>
        <w:jc w:val="center"/>
        <w:rPr>
          <w:b/>
        </w:rPr>
      </w:pPr>
      <w:bookmarkStart w:id="1" w:name="_Hlk135140356"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Аварійно-рятувальний гідравлічний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комбінованований інструмент</w:t>
      </w:r>
      <w:bookmarkEnd w:id="1"/>
    </w:p>
    <w:p>
      <w:pPr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cstheme="minorBidi"/>
          <w:b/>
          <w:bCs/>
          <w:color w:val="000000"/>
          <w:sz w:val="24"/>
          <w:szCs w:val="24"/>
        </w:rPr>
        <w:t xml:space="preserve">за ДК 021:2015 Єдиного закупівельного словника – </w:t>
      </w:r>
      <w:r>
        <w:rPr>
          <w:b/>
        </w:rPr>
        <w:t xml:space="preserve">- </w:t>
      </w:r>
      <w:r>
        <w:rPr>
          <w:b/>
          <w:sz w:val="24"/>
          <w:szCs w:val="24"/>
          <w:shd w:val="clear" w:color="auto" w:fill="F0F5F2"/>
        </w:rPr>
        <w:t>35110000-8 – Протипожежне, рятувальне та захисне обладнання</w:t>
      </w:r>
    </w:p>
    <w:p>
      <w:pPr>
        <w:jc w:val="center"/>
        <w:rPr>
          <w:rFonts w:cstheme="minorBidi"/>
          <w:b/>
          <w:bCs/>
          <w:color w:val="000000"/>
          <w:sz w:val="24"/>
          <w:szCs w:val="24"/>
        </w:rPr>
      </w:pPr>
    </w:p>
    <w:p>
      <w:pPr>
        <w:suppressAutoHyphens/>
        <w:contextualSpacing/>
        <w:textAlignment w:val="baseline"/>
        <w:rPr>
          <w:rFonts w:eastAsia="WenQuanYi Micro Hei"/>
          <w:kern w:val="3"/>
          <w:sz w:val="24"/>
          <w:szCs w:val="24"/>
          <w:lang w:eastAsia="zh-CN" w:bidi="hi-IN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Аварійно-рятувальний гідравлічний</w:t>
      </w:r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комбінованований інструмент</w:t>
      </w:r>
    </w:p>
    <w:p>
      <w:pPr>
        <w:pStyle w:val="9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pStyle w:val="9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Призначення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для проведення рятувальних та інших невідкладних робіт, особливо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 виконанні завдань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 порятунку людей.</w:t>
      </w:r>
    </w:p>
    <w:p>
      <w:pPr>
        <w:pStyle w:val="9"/>
        <w:spacing w:after="0" w:line="240" w:lineRule="auto"/>
        <w:ind w:left="927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ind w:left="567"/>
        <w:textAlignment w:val="baseline"/>
        <w:rPr>
          <w:rFonts w:ascii="Times New Roman" w:hAnsi="Times New Roman"/>
          <w:color w:val="08080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Основні вимоги</w:t>
      </w:r>
    </w:p>
    <w:p>
      <w:pPr>
        <w:pStyle w:val="9"/>
        <w:numPr>
          <w:ilvl w:val="0"/>
          <w:numId w:val="0"/>
        </w:numPr>
        <w:shd w:val="clear" w:color="auto" w:fill="FFFFFF"/>
        <w:spacing w:after="0" w:line="240" w:lineRule="auto"/>
        <w:ind w:left="567" w:leftChars="0" w:firstLine="532" w:firstLineChars="222"/>
        <w:textAlignment w:val="baseline"/>
      </w:pPr>
      <w:r>
        <w:rPr>
          <w:rFonts w:ascii="Times New Roman" w:hAnsi="Times New Roman"/>
          <w:color w:val="080808"/>
          <w:sz w:val="24"/>
          <w:szCs w:val="24"/>
        </w:rPr>
        <w:t>Характеристики: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EN Здатність різання 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  <w:lang w:val="uk-UA"/>
        </w:rPr>
        <w:t>не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менше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                  1I-2J-3I-4J-5J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Відстань між краями відкритих лез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не менше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 3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68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мм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Відстань стягування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без перехідників, не менше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254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мм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Вага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, не більше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18,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8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кг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Габарити (Д*В*Ш)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, не більше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   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   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 8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98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x 2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68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x 2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73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 xml:space="preserve"> мм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Діаметр 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  <w:lang w:val="uk-UA"/>
        </w:rPr>
        <w:t>різання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к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руглої сталі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, не менше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          35 мм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Зусилля розтискання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, не менше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                     1500 кН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  <w:rPr>
          <w:rFonts w:hint="default"/>
          <w:lang w:val="uk-UA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Клас захистуIP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, не нижче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 5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7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  <w:rPr>
          <w:rFonts w:hint="default"/>
          <w:lang w:val="uk-UA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Класи різання NFPA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, не нижче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             A7, B8, C7, D8, E7, F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3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Максимальна потужність різання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,не менше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   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  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492 кН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Максимальне зусилля стягування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, не менше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     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 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 61 кН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1440" w:hanging="360"/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2F2F2F"/>
          <w:sz w:val="21"/>
          <w:szCs w:val="21"/>
          <w:shd w:val="clear" w:color="auto" w:fill="FFFFFF"/>
          <w:lang w:val="uk-UA"/>
        </w:rPr>
        <w:t>Клас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 xml:space="preserve"> захисту акумуляторних батарей ІР, не менше </w:t>
      </w:r>
      <w:r>
        <w:rPr>
          <w:rFonts w:ascii="Arial" w:hAnsi="Arial" w:cs="Arial"/>
          <w:color w:val="2F2F2F"/>
          <w:sz w:val="21"/>
          <w:szCs w:val="21"/>
          <w:shd w:val="clear" w:color="auto" w:fill="FFFFFF"/>
        </w:rPr>
        <w:t>                  </w:t>
      </w:r>
      <w:r>
        <w:rPr>
          <w:rFonts w:hint="default" w:ascii="Arial" w:hAnsi="Arial" w:cs="Arial"/>
          <w:color w:val="2F2F2F"/>
          <w:sz w:val="21"/>
          <w:szCs w:val="21"/>
          <w:shd w:val="clear" w:color="auto" w:fill="FFFFFF"/>
          <w:lang w:val="uk-UA"/>
        </w:rPr>
        <w:t>67</w:t>
      </w:r>
    </w:p>
    <w:p>
      <w:pPr>
        <w:pStyle w:val="7"/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firstLine="567"/>
        <w:rPr>
          <w:b/>
          <w:shd w:val="clear" w:color="auto" w:fill="FFFFFF"/>
        </w:rPr>
      </w:pPr>
      <w:r>
        <w:rPr>
          <w:b/>
          <w:shd w:val="clear" w:color="auto" w:fill="FFFFFF"/>
        </w:rPr>
        <w:t>До інструменту має входити :</w:t>
      </w:r>
    </w:p>
    <w:p>
      <w:pPr>
        <w:pStyle w:val="7"/>
        <w:numPr>
          <w:ilvl w:val="3"/>
          <w:numId w:val="1"/>
        </w:numPr>
        <w:pBdr>
          <w:bottom w:val="single" w:color="AAAAAA" w:sz="12" w:space="0"/>
        </w:pBdr>
        <w:shd w:val="clear" w:color="auto" w:fill="FFFFFF"/>
        <w:tabs>
          <w:tab w:val="left" w:pos="721"/>
        </w:tabs>
        <w:spacing w:beforeAutospacing="0" w:afterAutospacing="0"/>
        <w:ind w:left="851" w:hanging="284"/>
        <w:rPr>
          <w:color w:val="080808"/>
        </w:rPr>
      </w:pPr>
      <w:r>
        <w:rPr>
          <w:color w:val="2F2F2F"/>
          <w:shd w:val="clear" w:color="auto" w:fill="FFFFFF"/>
        </w:rPr>
        <w:t>Акумуляторна батарея;</w:t>
      </w:r>
    </w:p>
    <w:p>
      <w:pPr>
        <w:pStyle w:val="7"/>
        <w:numPr>
          <w:ilvl w:val="3"/>
          <w:numId w:val="1"/>
        </w:numPr>
        <w:pBdr>
          <w:bottom w:val="single" w:color="AAAAAA" w:sz="12" w:space="0"/>
        </w:pBdr>
        <w:shd w:val="clear" w:color="auto" w:fill="FFFFFF"/>
        <w:tabs>
          <w:tab w:val="left" w:pos="851"/>
        </w:tabs>
        <w:spacing w:beforeAutospacing="0" w:afterAutospacing="0"/>
        <w:ind w:left="709" w:hanging="142"/>
        <w:rPr>
          <w:color w:val="080808"/>
        </w:rPr>
      </w:pPr>
      <w:r>
        <w:rPr>
          <w:color w:val="2F2F2F"/>
          <w:shd w:val="clear" w:color="auto" w:fill="FFFFFF"/>
        </w:rPr>
        <w:t>Зарядний пристрій.</w:t>
      </w:r>
    </w:p>
    <w:p>
      <w:pPr>
        <w:pStyle w:val="9"/>
        <w:spacing w:after="0" w:line="240" w:lineRule="auto"/>
        <w:ind w:left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80808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3.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Вимоги 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Гарантійний строк на товар та усі їх складові відповідно до комплектації повинен становити не менше </w:t>
      </w:r>
      <w:r>
        <w:rPr>
          <w:rFonts w:ascii="Times New Roman" w:hAnsi="Times New Roman"/>
          <w:sz w:val="24"/>
          <w:szCs w:val="24"/>
          <w:lang w:val="uk-UA"/>
        </w:rPr>
        <w:t>12</w:t>
      </w:r>
      <w:r>
        <w:rPr>
          <w:rFonts w:ascii="Times New Roman" w:hAnsi="Times New Roman"/>
          <w:sz w:val="24"/>
          <w:szCs w:val="24"/>
        </w:rPr>
        <w:t xml:space="preserve"> місяців з дня введення в експлуатацію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протягом гарантійного строку безкоштовне сервісне (технічне) обслуговування товару, його гарантійний ремонт і, за необхідності, гарантійну заміну відповідно до гарантійних умов;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Забезпечення оплатне післягарантійне (технічне) обслуговування, ремонт, а також заміну комплектуючих частин і вузлів сумісними комплектуючими частинами і вузлами протягом не менше ніж 5 років з дня введення товару в експлуатацію;</w:t>
      </w:r>
    </w:p>
    <w:p>
      <w:pPr>
        <w:pStyle w:val="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>Якісні, кількісні характеристики предмету закупівлі повинні відповідати встановленим/зареєстрованим нормативним актам (встановленим державним стандартам, зареєстрованим технічним умовам України тощо), які передбачають застосування заходів із захисту довкілля;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Детальний опис предмету закупівлі за усіма пунктами технічних вимог, що буде постачатись, його технічних та якісних характеристик із обов'язковим зазначенням марок, моделей, модифікацій, не допускається застосування висловів,«еквівалент», «аналог», тощо);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Надані учасником технічні характеристики на все обладнання не повинно містити посилання типу: «не менше», «не більше», «або», «або аналог».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bookmarkStart w:id="2" w:name="_GoBack"/>
      <w:r>
        <w:rPr>
          <w:color w:val="000000"/>
          <w:lang w:val="uk-UA"/>
        </w:rPr>
        <w:t>Учасник</w:t>
      </w:r>
      <w:r>
        <w:rPr>
          <w:rFonts w:hint="default"/>
          <w:color w:val="000000"/>
          <w:lang w:val="uk-UA"/>
        </w:rPr>
        <w:t xml:space="preserve"> у складі пропозиції надає гарантійний лист від виробника, аварійно-рятувального гідравлічного та комбінованого інструменту, адресований Учаснику із зазначенням ідентифікатора процедури закупівлі про наявність представника виробника на території України та забезпечення як гарантійного, так і після гарантійного обслуговування із зазначенням - адреси авторизованого (сертифікованого виробником) сервісного (них) центру (рів), контактних телефонів, електронної пошти, а також сертифікати на право проведення сервісного обслуговування, виданих фахівцям сервісного (них) центру (рів) виробником аварійно-рятувального гідравлічного комбінованого інструменту.</w:t>
      </w:r>
    </w:p>
    <w:p>
      <w:pPr>
        <w:pStyle w:val="7"/>
        <w:numPr>
          <w:ilvl w:val="0"/>
          <w:numId w:val="2"/>
        </w:numPr>
        <w:jc w:val="both"/>
        <w:rPr>
          <w:color w:val="000000"/>
        </w:rPr>
      </w:pPr>
      <w:r>
        <w:rPr>
          <w:rFonts w:hint="default"/>
          <w:color w:val="000000"/>
          <w:lang w:val="uk-UA"/>
        </w:rPr>
        <w:t>Учасник у складі пропозиції надає гарантійний лист від виробника, аварійно-рятувального гідравлічного та комбінованого інструменту, адресований Учаснику із зазначенням ідентифікатора процедури закупівлі про можливість поставки інструменту, що є предметом закупівлі.</w:t>
      </w:r>
    </w:p>
    <w:bookmarkEnd w:id="2"/>
    <w:p>
      <w:pPr>
        <w:shd w:val="clear" w:color="auto" w:fill="FFFFFF"/>
        <w:jc w:val="both"/>
        <w:textAlignment w:val="baseline"/>
        <w:rPr>
          <w:color w:val="080808"/>
          <w:sz w:val="24"/>
          <w:szCs w:val="24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80808"/>
          <w:sz w:val="24"/>
          <w:szCs w:val="24"/>
          <w:lang w:val="uk-UA"/>
        </w:rPr>
      </w:pPr>
    </w:p>
    <w:p>
      <w:pPr>
        <w:pStyle w:val="9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>
      <w:pPr>
        <w:rPr>
          <w:sz w:val="24"/>
          <w:szCs w:val="24"/>
        </w:rPr>
      </w:pPr>
    </w:p>
    <w:p>
      <w:pPr>
        <w:spacing w:after="240"/>
        <w:contextualSpacing/>
        <w:jc w:val="both"/>
        <w:rPr>
          <w:b/>
          <w:bCs/>
          <w:sz w:val="24"/>
          <w:szCs w:val="24"/>
          <w:lang w:eastAsia="ru-RU"/>
        </w:rPr>
      </w:pPr>
    </w:p>
    <w:p>
      <w:pPr>
        <w:jc w:val="both"/>
      </w:pP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CC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Trebuchet MS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WenQuanYi Micro Hei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等线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2B1910"/>
    <w:multiLevelType w:val="multilevel"/>
    <w:tmpl w:val="082B1910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017C8C"/>
    <w:multiLevelType w:val="multilevel"/>
    <w:tmpl w:val="15017C8C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 w:ascii="Calibri" w:hAnsi="Calibri"/>
        <w:color w:val="auto"/>
        <w:sz w:val="22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3"/>
    <w:rsid w:val="0009393D"/>
    <w:rsid w:val="000B3151"/>
    <w:rsid w:val="000E3718"/>
    <w:rsid w:val="000F6D1E"/>
    <w:rsid w:val="0013000A"/>
    <w:rsid w:val="002152DF"/>
    <w:rsid w:val="002A63D5"/>
    <w:rsid w:val="004B367B"/>
    <w:rsid w:val="00512155"/>
    <w:rsid w:val="006A43EE"/>
    <w:rsid w:val="0074200C"/>
    <w:rsid w:val="0087364A"/>
    <w:rsid w:val="008D1278"/>
    <w:rsid w:val="008D5713"/>
    <w:rsid w:val="008F2650"/>
    <w:rsid w:val="00AC2DBE"/>
    <w:rsid w:val="00C352D6"/>
    <w:rsid w:val="00CC6A32"/>
    <w:rsid w:val="00D53679"/>
    <w:rsid w:val="00E50ED5"/>
    <w:rsid w:val="00F50EC9"/>
    <w:rsid w:val="00F767B7"/>
    <w:rsid w:val="5DFDF420"/>
    <w:rsid w:val="6692372A"/>
    <w:rsid w:val="BCFD230B"/>
    <w:rsid w:val="BFC66E9E"/>
    <w:rsid w:val="FB5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uk-UA" w:eastAsia="en-US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44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8">
    <w:name w:val="Текст выноски Знак"/>
    <w:basedOn w:val="3"/>
    <w:link w:val="5"/>
    <w:semiHidden/>
    <w:qFormat/>
    <w:uiPriority w:val="99"/>
    <w:rPr>
      <w:rFonts w:ascii="Tahoma" w:hAnsi="Tahoma" w:eastAsia="Times New Roman" w:cs="Tahoma"/>
      <w:sz w:val="16"/>
      <w:szCs w:val="16"/>
      <w:lang w:val="uk-UA" w:eastAsia="en-US"/>
    </w:rPr>
  </w:style>
  <w:style w:type="paragraph" w:styleId="9">
    <w:name w:val="List Paragraph"/>
    <w:basedOn w:val="1"/>
    <w:qFormat/>
    <w:uiPriority w:val="34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hAnsi="Calibri" w:eastAsia="Calibri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440</Words>
  <Characters>2510</Characters>
  <Lines>20</Lines>
  <Paragraphs>5</Paragraphs>
  <TotalTime>7</TotalTime>
  <ScaleCrop>false</ScaleCrop>
  <LinksUpToDate>false</LinksUpToDate>
  <CharactersWithSpaces>2945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2023-06-21T17:02:00Z</dcterms:created>
  <dc:creator>pc</dc:creator>
  <cp:lastModifiedBy>U</cp:lastModifiedBy>
  <dcterms:modified xsi:type="dcterms:W3CDTF">2023-11-09T16:09:17Z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