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3"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373"/>
      </w:tblGrid>
      <w:tr w:rsidR="000E7A46" w:rsidTr="000E7A46">
        <w:tc>
          <w:tcPr>
            <w:tcW w:w="10373" w:type="dxa"/>
            <w:tcBorders>
              <w:top w:val="thickThinSmallGap" w:sz="24" w:space="0" w:color="00000A"/>
              <w:left w:val="thickThinSmallGap" w:sz="24" w:space="0" w:color="00000A"/>
              <w:bottom w:val="thickThinSmallGap" w:sz="24" w:space="0" w:color="00000A"/>
              <w:right w:val="thickThinSmallGap" w:sz="24" w:space="0" w:color="00000A"/>
            </w:tcBorders>
            <w:hideMark/>
          </w:tcPr>
          <w:p w:rsidR="000E7A46" w:rsidRDefault="000E7A46">
            <w:pPr>
              <w:jc w:val="center"/>
              <w:rPr>
                <w:b/>
                <w:lang w:eastAsia="en-US"/>
              </w:rPr>
            </w:pPr>
            <w:r>
              <w:rPr>
                <w:sz w:val="20"/>
                <w:szCs w:val="20"/>
                <w:lang w:eastAsia="en-US"/>
              </w:rPr>
              <w:object w:dxaOrig="7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9" o:title=""/>
                </v:shape>
                <o:OLEObject Type="Embed" ProgID="CorelDraw.Graphic.7" ShapeID="_x0000_i1025" DrawAspect="Content" ObjectID="_1775635105" r:id="rId10"/>
              </w:objec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УПРАВЛІННЯ ОХОРОНИ ЗДОРОВ’Я ГОРІШНЬОПЛАВНІВСЬКОЇ МІСЬКОЇ РАДИ  КРЕМЕНЧУЦЬКОГО РАЙОНУ ПОЛТАВСЬКОЇ ОБЛАСТІ</w: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КОМУНАЛЬНЕ НЕКОМЕРЦІЙНЕ ПІДПРИЄМСТВО «ЛІКАРНЯ ІНТЕНСИВНОГО  ЛІКУВАННЯ I РІВНЯ М.ГОРІШНІ ПЛАВНІ» </w: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ГОРІШНЬОПЛАВНІВСЬКОЇ МІСЬКОЇ РАДИ КРЕМЕНЧУЦЬКОГО РАЙОНУ  ПОЛТАВСЬКОЇ ОБЛАСТІ</w:t>
            </w:r>
          </w:p>
          <w:p w:rsidR="000E7A46" w:rsidRDefault="000E7A46" w:rsidP="000E7A46">
            <w:pPr>
              <w:spacing w:after="0"/>
              <w:jc w:val="center"/>
              <w:rPr>
                <w:rFonts w:ascii="Times New Roman" w:hAnsi="Times New Roman"/>
                <w:lang w:eastAsia="en-US"/>
              </w:rPr>
            </w:pPr>
            <w:r>
              <w:rPr>
                <w:rFonts w:ascii="Times New Roman" w:hAnsi="Times New Roman"/>
                <w:sz w:val="20"/>
                <w:szCs w:val="20"/>
                <w:lang w:eastAsia="en-US"/>
              </w:rPr>
              <w:t>39803,  м. Горішні Плавні, Полтавської області,  вул. Миру, 10,  КОД ЄДРПОУ  01999626</w:t>
            </w:r>
          </w:p>
          <w:p w:rsidR="000E7A46" w:rsidRDefault="000E7A46" w:rsidP="000E7A46">
            <w:pPr>
              <w:spacing w:after="0" w:line="256" w:lineRule="auto"/>
              <w:jc w:val="center"/>
              <w:rPr>
                <w:rFonts w:ascii="Times New Roman" w:hAnsi="Times New Roman"/>
                <w:sz w:val="20"/>
                <w:szCs w:val="20"/>
                <w:lang w:eastAsia="en-US"/>
              </w:rPr>
            </w:pPr>
            <w:r>
              <w:rPr>
                <w:rFonts w:ascii="Times New Roman" w:hAnsi="Times New Roman"/>
                <w:sz w:val="20"/>
                <w:szCs w:val="20"/>
                <w:lang w:eastAsia="en-US"/>
              </w:rPr>
              <w:t xml:space="preserve">E-mail: </w:t>
            </w:r>
            <w:hyperlink r:id="rId11" w:history="1">
              <w:r>
                <w:rPr>
                  <w:rStyle w:val="a6"/>
                  <w:rFonts w:ascii="Times New Roman" w:hAnsi="Times New Roman"/>
                  <w:color w:val="548DD4"/>
                  <w:sz w:val="20"/>
                  <w:szCs w:val="20"/>
                  <w:lang w:eastAsia="en-US"/>
                </w:rPr>
                <w:t>koms.hosp@gmail.</w:t>
              </w:r>
            </w:hyperlink>
            <w:r>
              <w:rPr>
                <w:rFonts w:ascii="Times New Roman" w:hAnsi="Times New Roman"/>
                <w:color w:val="548DD4"/>
                <w:sz w:val="20"/>
                <w:szCs w:val="20"/>
                <w:u w:val="single"/>
                <w:lang w:eastAsia="en-US"/>
              </w:rPr>
              <w:t>com</w:t>
            </w:r>
            <w:r>
              <w:rPr>
                <w:rFonts w:ascii="Times New Roman" w:hAnsi="Times New Roman"/>
                <w:sz w:val="20"/>
                <w:szCs w:val="20"/>
                <w:lang w:eastAsia="en-US"/>
              </w:rPr>
              <w:t xml:space="preserve"> ,  тел. (05438) 4-48-31</w:t>
            </w:r>
          </w:p>
        </w:tc>
      </w:tr>
      <w:tr w:rsidR="000E7A46" w:rsidTr="000E7A46">
        <w:tc>
          <w:tcPr>
            <w:tcW w:w="10373" w:type="dxa"/>
            <w:tcBorders>
              <w:top w:val="thickThinSmallGap" w:sz="24" w:space="0" w:color="00000A"/>
              <w:left w:val="thickThinSmallGap" w:sz="24" w:space="0" w:color="00000A"/>
              <w:bottom w:val="thickThinSmallGap" w:sz="24" w:space="0" w:color="00000A"/>
              <w:right w:val="thickThinSmallGap" w:sz="24" w:space="0" w:color="00000A"/>
            </w:tcBorders>
          </w:tcPr>
          <w:p w:rsidR="000E7A46" w:rsidRDefault="000E7A46">
            <w:pPr>
              <w:spacing w:after="0"/>
              <w:ind w:firstLine="121"/>
              <w:jc w:val="right"/>
              <w:rPr>
                <w:rFonts w:ascii="Times New Roman" w:hAnsi="Times New Roman"/>
                <w:b/>
                <w:sz w:val="24"/>
                <w:szCs w:val="24"/>
                <w:lang w:eastAsia="en-US"/>
              </w:rPr>
            </w:pPr>
            <w:r>
              <w:rPr>
                <w:rFonts w:ascii="Times New Roman" w:hAnsi="Times New Roman"/>
                <w:b/>
                <w:sz w:val="24"/>
                <w:szCs w:val="24"/>
                <w:lang w:eastAsia="en-US"/>
              </w:rPr>
              <w:t>ЗАТВЕРДЖЕНО</w:t>
            </w:r>
          </w:p>
          <w:p w:rsidR="000E7A46" w:rsidRDefault="000E7A46">
            <w:pPr>
              <w:spacing w:after="0"/>
              <w:jc w:val="right"/>
              <w:rPr>
                <w:rFonts w:ascii="Times New Roman" w:hAnsi="Times New Roman"/>
                <w:sz w:val="24"/>
                <w:szCs w:val="24"/>
                <w:lang w:eastAsia="en-US"/>
              </w:rPr>
            </w:pPr>
            <w:r>
              <w:rPr>
                <w:rFonts w:ascii="Times New Roman" w:hAnsi="Times New Roman"/>
                <w:sz w:val="24"/>
                <w:szCs w:val="24"/>
                <w:lang w:eastAsia="en-US"/>
              </w:rPr>
              <w:t>Рішенням Уповноваженої особи</w:t>
            </w:r>
          </w:p>
          <w:p w:rsidR="000E7A46" w:rsidRDefault="000E7A46">
            <w:pPr>
              <w:spacing w:after="0"/>
              <w:jc w:val="right"/>
              <w:rPr>
                <w:rFonts w:ascii="Times New Roman" w:hAnsi="Times New Roman"/>
                <w:sz w:val="24"/>
                <w:szCs w:val="24"/>
                <w:lang w:eastAsia="en-US"/>
              </w:rPr>
            </w:pPr>
            <w:r>
              <w:rPr>
                <w:rFonts w:ascii="Times New Roman" w:hAnsi="Times New Roman"/>
                <w:sz w:val="24"/>
                <w:szCs w:val="24"/>
                <w:lang w:eastAsia="en-US"/>
              </w:rPr>
              <w:t>КНП «ЛІЛ І рівня м. Горішні Плавні»</w:t>
            </w:r>
          </w:p>
          <w:p w:rsidR="000E7A46" w:rsidRDefault="000E7A46">
            <w:pPr>
              <w:spacing w:after="0"/>
              <w:jc w:val="right"/>
              <w:rPr>
                <w:rFonts w:ascii="Times New Roman" w:eastAsia="Times New Roman" w:hAnsi="Times New Roman" w:cs="Times New Roman"/>
                <w:sz w:val="24"/>
                <w:szCs w:val="24"/>
                <w:lang w:eastAsia="en-US"/>
              </w:rPr>
            </w:pPr>
            <w:r w:rsidRPr="00CB44F0">
              <w:rPr>
                <w:rFonts w:ascii="Times New Roman" w:hAnsi="Times New Roman"/>
                <w:sz w:val="24"/>
                <w:szCs w:val="24"/>
                <w:lang w:eastAsia="en-US"/>
              </w:rPr>
              <w:t xml:space="preserve">Протокол </w:t>
            </w:r>
            <w:r w:rsidRPr="00CB44F0">
              <w:rPr>
                <w:rFonts w:ascii="Times New Roman" w:eastAsia="Times New Roman" w:hAnsi="Times New Roman" w:cs="Times New Roman"/>
                <w:sz w:val="24"/>
                <w:szCs w:val="24"/>
                <w:lang w:eastAsia="en-US"/>
              </w:rPr>
              <w:t xml:space="preserve">№ </w:t>
            </w:r>
            <w:r w:rsidR="00CB44F0" w:rsidRPr="00CB44F0">
              <w:rPr>
                <w:rFonts w:ascii="Times New Roman" w:eastAsia="Times New Roman" w:hAnsi="Times New Roman" w:cs="Times New Roman"/>
                <w:sz w:val="24"/>
                <w:szCs w:val="24"/>
                <w:lang w:eastAsia="en-US"/>
              </w:rPr>
              <w:t>211 від 26</w:t>
            </w:r>
            <w:r w:rsidR="00607C3A" w:rsidRPr="00CB44F0">
              <w:rPr>
                <w:rFonts w:ascii="Times New Roman" w:eastAsia="Times New Roman" w:hAnsi="Times New Roman" w:cs="Times New Roman"/>
                <w:sz w:val="24"/>
                <w:szCs w:val="24"/>
                <w:lang w:eastAsia="en-US"/>
              </w:rPr>
              <w:t>.04</w:t>
            </w:r>
            <w:r w:rsidRPr="00CB44F0">
              <w:rPr>
                <w:rFonts w:ascii="Times New Roman" w:eastAsia="Times New Roman" w:hAnsi="Times New Roman" w:cs="Times New Roman"/>
                <w:sz w:val="24"/>
                <w:szCs w:val="24"/>
                <w:lang w:eastAsia="en-US"/>
              </w:rPr>
              <w:t>.2024</w:t>
            </w:r>
            <w:r w:rsidR="00607C3A" w:rsidRPr="00CB44F0">
              <w:rPr>
                <w:rFonts w:ascii="Times New Roman" w:eastAsia="Times New Roman" w:hAnsi="Times New Roman" w:cs="Times New Roman"/>
                <w:sz w:val="24"/>
                <w:szCs w:val="24"/>
                <w:lang w:eastAsia="en-US"/>
              </w:rPr>
              <w:t xml:space="preserve"> </w:t>
            </w:r>
            <w:r w:rsidRPr="00CB44F0">
              <w:rPr>
                <w:rFonts w:ascii="Times New Roman" w:eastAsia="Times New Roman" w:hAnsi="Times New Roman" w:cs="Times New Roman"/>
                <w:sz w:val="24"/>
                <w:szCs w:val="24"/>
                <w:lang w:eastAsia="en-US"/>
              </w:rPr>
              <w:t>р.</w:t>
            </w:r>
            <w:bookmarkStart w:id="0" w:name="_GoBack"/>
            <w:bookmarkEnd w:id="0"/>
          </w:p>
          <w:p w:rsidR="000E7A46" w:rsidRDefault="000E7A46">
            <w:pPr>
              <w:jc w:val="right"/>
              <w:rPr>
                <w:lang w:eastAsia="en-US"/>
              </w:rPr>
            </w:pPr>
            <w:r>
              <w:rPr>
                <w:rFonts w:ascii="Times New Roman" w:hAnsi="Times New Roman"/>
                <w:sz w:val="24"/>
                <w:szCs w:val="24"/>
                <w:lang w:eastAsia="en-US"/>
              </w:rPr>
              <w:t>_____________   Лідія БУЛАНКІНА</w:t>
            </w:r>
          </w:p>
          <w:p w:rsidR="000E7A46" w:rsidRDefault="000E7A46">
            <w:pPr>
              <w:spacing w:after="0" w:line="256" w:lineRule="auto"/>
              <w:rPr>
                <w:rFonts w:ascii="Times New Roman" w:hAnsi="Times New Roman"/>
                <w:b/>
                <w:lang w:eastAsia="en-US"/>
              </w:rPr>
            </w:pPr>
          </w:p>
        </w:tc>
      </w:tr>
      <w:tr w:rsidR="000E7A46" w:rsidTr="000E7A46">
        <w:trPr>
          <w:trHeight w:val="8561"/>
        </w:trPr>
        <w:tc>
          <w:tcPr>
            <w:tcW w:w="10373" w:type="dxa"/>
            <w:tcBorders>
              <w:top w:val="thickThinSmallGap" w:sz="24" w:space="0" w:color="00000A"/>
              <w:left w:val="thickThinSmallGap" w:sz="24" w:space="0" w:color="00000A"/>
              <w:bottom w:val="thickThinSmallGap" w:sz="24" w:space="0" w:color="00000A"/>
              <w:right w:val="thickThinSmallGap" w:sz="24" w:space="0" w:color="00000A"/>
            </w:tcBorders>
          </w:tcPr>
          <w:p w:rsidR="000E7A46" w:rsidRDefault="000E7A46">
            <w:pPr>
              <w:jc w:val="center"/>
              <w:rPr>
                <w:rFonts w:ascii="Times New Roman" w:hAnsi="Times New Roman"/>
                <w:b/>
                <w:sz w:val="32"/>
                <w:szCs w:val="32"/>
                <w:lang w:eastAsia="en-US"/>
              </w:rPr>
            </w:pPr>
            <w:r>
              <w:rPr>
                <w:b/>
                <w:sz w:val="32"/>
                <w:szCs w:val="32"/>
                <w:lang w:eastAsia="en-US"/>
              </w:rPr>
              <w:t xml:space="preserve">   </w:t>
            </w:r>
          </w:p>
          <w:p w:rsidR="000E7A46" w:rsidRDefault="000E7A46">
            <w:pPr>
              <w:jc w:val="center"/>
              <w:rPr>
                <w:rFonts w:ascii="Times New Roman" w:hAnsi="Times New Roman"/>
                <w:b/>
                <w:sz w:val="32"/>
                <w:szCs w:val="32"/>
                <w:lang w:eastAsia="en-US"/>
              </w:rPr>
            </w:pPr>
          </w:p>
          <w:p w:rsidR="000E7A46" w:rsidRDefault="000E7A46">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ТЕНДЕРНА ДОКУМЕНТАЦІЯ</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(Процедура закупівлі – відкриті торги (з особливостями))</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закупівлю послуг на 2024 рік</w:t>
            </w:r>
          </w:p>
          <w:p w:rsidR="000E7A46" w:rsidRDefault="000E7A46">
            <w:pPr>
              <w:spacing w:after="0"/>
              <w:jc w:val="center"/>
              <w:rPr>
                <w:rFonts w:ascii="Times New Roman" w:hAnsi="Times New Roman" w:cs="Times New Roman"/>
                <w:sz w:val="28"/>
                <w:szCs w:val="28"/>
                <w:lang w:eastAsia="en-US"/>
              </w:rPr>
            </w:pPr>
          </w:p>
          <w:p w:rsidR="00193F4A" w:rsidRDefault="00193F4A">
            <w:pPr>
              <w:spacing w:after="0"/>
              <w:jc w:val="center"/>
              <w:rPr>
                <w:rFonts w:ascii="Times New Roman" w:eastAsia="Times New Roman" w:hAnsi="Times New Roman" w:cs="Times New Roman"/>
                <w:b/>
                <w:bCs/>
                <w:i/>
                <w:sz w:val="28"/>
                <w:szCs w:val="28"/>
                <w:lang w:eastAsia="ru-RU"/>
              </w:rPr>
            </w:pPr>
            <w:r w:rsidRPr="00193F4A">
              <w:rPr>
                <w:rFonts w:ascii="Times New Roman" w:eastAsia="Times New Roman" w:hAnsi="Times New Roman" w:cs="Times New Roman"/>
                <w:b/>
                <w:bCs/>
                <w:i/>
                <w:sz w:val="28"/>
                <w:szCs w:val="28"/>
                <w:lang w:eastAsia="ru-RU"/>
              </w:rPr>
              <w:t xml:space="preserve">Послуги з ремонту стоматологічного обладнання </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код згідно національного класифікатора України </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ДК 021:2015 «Єдиний закупівельний словник»:</w:t>
            </w:r>
          </w:p>
          <w:p w:rsidR="000E7A46" w:rsidRDefault="000E7A46">
            <w:pPr>
              <w:spacing w:after="0"/>
              <w:jc w:val="center"/>
              <w:rPr>
                <w:rFonts w:ascii="Times New Roman" w:hAnsi="Times New Roman"/>
                <w:b/>
                <w:sz w:val="28"/>
                <w:szCs w:val="28"/>
                <w:lang w:eastAsia="en-US"/>
              </w:rPr>
            </w:pPr>
            <w:r>
              <w:rPr>
                <w:rFonts w:ascii="Times New Roman" w:hAnsi="Times New Roman" w:cs="Times New Roman"/>
                <w:b/>
                <w:bCs/>
                <w:sz w:val="28"/>
                <w:szCs w:val="28"/>
                <w:lang w:eastAsia="en-US"/>
              </w:rPr>
              <w:t xml:space="preserve">50420000-5 Послуги з ремонту і технічного обслуговування медичного та хірургічного обладнання </w:t>
            </w: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193F4A" w:rsidRDefault="00193F4A">
            <w:pPr>
              <w:spacing w:after="0"/>
              <w:jc w:val="center"/>
              <w:rPr>
                <w:rFonts w:ascii="Times New Roman" w:hAnsi="Times New Roman"/>
                <w:b/>
                <w:sz w:val="28"/>
                <w:szCs w:val="28"/>
                <w:lang w:eastAsia="en-US"/>
              </w:rPr>
            </w:pPr>
          </w:p>
          <w:p w:rsidR="000E7A46" w:rsidRDefault="000E7A46">
            <w:pPr>
              <w:spacing w:after="0" w:line="256" w:lineRule="auto"/>
              <w:jc w:val="center"/>
              <w:rPr>
                <w:rFonts w:ascii="Times New Roman" w:hAnsi="Times New Roman"/>
                <w:sz w:val="28"/>
                <w:szCs w:val="28"/>
                <w:lang w:eastAsia="en-US"/>
              </w:rPr>
            </w:pPr>
            <w:r>
              <w:rPr>
                <w:rFonts w:ascii="Times New Roman" w:hAnsi="Times New Roman"/>
                <w:b/>
                <w:sz w:val="28"/>
                <w:szCs w:val="28"/>
                <w:lang w:eastAsia="en-US"/>
              </w:rPr>
              <w:t>м. Горішні Плавні – 2024 р.</w:t>
            </w:r>
          </w:p>
        </w:tc>
      </w:tr>
    </w:tbl>
    <w:p w:rsidR="00A90B3D" w:rsidRDefault="00A90B3D">
      <w:pPr>
        <w:spacing w:after="0" w:line="240" w:lineRule="auto"/>
        <w:jc w:val="both"/>
        <w:rPr>
          <w:rFonts w:ascii="Times New Roman" w:eastAsia="Times New Roman" w:hAnsi="Times New Roman" w:cs="Times New Roman"/>
          <w:sz w:val="24"/>
          <w:szCs w:val="24"/>
        </w:rPr>
      </w:pPr>
    </w:p>
    <w:p w:rsidR="00A90B3D" w:rsidRDefault="00A90B3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90B3D" w:rsidTr="00CE44C6">
        <w:trPr>
          <w:trHeight w:val="583"/>
          <w:jc w:val="center"/>
        </w:trPr>
        <w:tc>
          <w:tcPr>
            <w:tcW w:w="7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0B3D" w:rsidRDefault="008F4C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0B3D">
        <w:trPr>
          <w:trHeight w:val="411"/>
          <w:jc w:val="center"/>
        </w:trPr>
        <w:tc>
          <w:tcPr>
            <w:tcW w:w="7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0B3D">
        <w:trPr>
          <w:trHeight w:val="111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90B3D" w:rsidRDefault="008F4C5F" w:rsidP="00743D5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43D56" w:rsidRDefault="00743D56" w:rsidP="00743D56">
            <w:pPr>
              <w:jc w:val="both"/>
              <w:rPr>
                <w:rFonts w:ascii="Times New Roman" w:eastAsia="Times New Roman" w:hAnsi="Times New Roman" w:cs="Times New Roman"/>
                <w:sz w:val="24"/>
                <w:szCs w:val="24"/>
                <w:highlight w:val="white"/>
              </w:rPr>
            </w:pPr>
          </w:p>
          <w:p w:rsidR="00A90B3D" w:rsidRDefault="008F4C5F" w:rsidP="00743D5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0B3D">
        <w:trPr>
          <w:trHeight w:val="615"/>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90B3D" w:rsidRDefault="008F4C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0B3D" w:rsidTr="000E7A46">
        <w:trPr>
          <w:trHeight w:val="1585"/>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90B3D" w:rsidRDefault="000E7A46">
            <w:pPr>
              <w:jc w:val="both"/>
              <w:rPr>
                <w:rFonts w:ascii="Times New Roman" w:eastAsia="Times New Roman" w:hAnsi="Times New Roman" w:cs="Times New Roman"/>
                <w:i/>
                <w:sz w:val="24"/>
                <w:szCs w:val="24"/>
              </w:rPr>
            </w:pPr>
            <w:r w:rsidRPr="00390663">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w:t>
            </w:r>
            <w:r>
              <w:rPr>
                <w:rFonts w:ascii="Times New Roman" w:hAnsi="Times New Roman"/>
                <w:b/>
                <w:sz w:val="24"/>
                <w:szCs w:val="24"/>
              </w:rPr>
              <w:t xml:space="preserve">ГОРІШНЬОПЛАВНІВСЬКОЇ  МІСЬКОЇ РАДИ КРЕМЕНЧУЦЬКОГО </w:t>
            </w:r>
            <w:r w:rsidRPr="00390663">
              <w:rPr>
                <w:rFonts w:ascii="Times New Roman" w:hAnsi="Times New Roman"/>
                <w:b/>
                <w:sz w:val="24"/>
                <w:szCs w:val="24"/>
              </w:rPr>
              <w:t>РАЙОНУ ПОЛТАВСЬКОЇ  ОБЛАСТІ</w:t>
            </w:r>
          </w:p>
        </w:tc>
      </w:tr>
      <w:tr w:rsidR="00A90B3D" w:rsidTr="000E7A46">
        <w:trPr>
          <w:trHeight w:val="76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90B3D" w:rsidRDefault="000E7A46">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A90B3D">
        <w:trPr>
          <w:trHeight w:val="111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E7A46" w:rsidRPr="00390663" w:rsidRDefault="000E7A46" w:rsidP="000E7A46">
            <w:pPr>
              <w:jc w:val="both"/>
              <w:rPr>
                <w:rFonts w:ascii="Times New Roman" w:hAnsi="Times New Roman"/>
                <w:sz w:val="24"/>
                <w:szCs w:val="24"/>
              </w:rPr>
            </w:pPr>
            <w:r>
              <w:rPr>
                <w:rFonts w:ascii="Times New Roman" w:hAnsi="Times New Roman"/>
                <w:b/>
                <w:sz w:val="24"/>
                <w:szCs w:val="24"/>
              </w:rPr>
              <w:t>Буланкіна Лідія Михайлівна</w:t>
            </w:r>
            <w:r w:rsidRPr="00390663">
              <w:rPr>
                <w:rFonts w:ascii="Times New Roman" w:hAnsi="Times New Roman"/>
                <w:b/>
                <w:sz w:val="24"/>
                <w:szCs w:val="24"/>
              </w:rPr>
              <w:t>,  уповноважена особа.</w:t>
            </w:r>
          </w:p>
          <w:p w:rsidR="00A90B3D" w:rsidRDefault="000E7A46" w:rsidP="000E7A46">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2" w:history="1">
              <w:r w:rsidRPr="00390663">
                <w:rPr>
                  <w:rStyle w:val="a6"/>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A90B3D" w:rsidTr="000E7A46">
        <w:trPr>
          <w:trHeight w:val="681"/>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90B3D" w:rsidRDefault="008F4C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90B3D" w:rsidTr="000E7A46">
        <w:trPr>
          <w:trHeight w:val="712"/>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90B3D" w:rsidRDefault="008F4C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0B3D">
        <w:trPr>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93F4A" w:rsidRDefault="00193F4A" w:rsidP="000E7A46">
            <w:pPr>
              <w:rPr>
                <w:rFonts w:ascii="Times New Roman" w:eastAsia="Times New Roman" w:hAnsi="Times New Roman" w:cs="Times New Roman"/>
                <w:b/>
                <w:i/>
                <w:sz w:val="24"/>
                <w:szCs w:val="24"/>
              </w:rPr>
            </w:pPr>
            <w:r w:rsidRPr="00193F4A">
              <w:rPr>
                <w:rFonts w:ascii="Times New Roman" w:eastAsia="Times New Roman" w:hAnsi="Times New Roman" w:cs="Times New Roman"/>
                <w:b/>
                <w:i/>
                <w:sz w:val="24"/>
                <w:szCs w:val="24"/>
              </w:rPr>
              <w:t xml:space="preserve">Послуги з ремонту стоматологічного обладнання </w:t>
            </w:r>
          </w:p>
          <w:p w:rsidR="000E7A46" w:rsidRPr="00D616D5" w:rsidRDefault="000E7A46" w:rsidP="000E7A46">
            <w:pPr>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0E7A46" w:rsidRPr="00743D56" w:rsidRDefault="000E7A46">
            <w:pPr>
              <w:jc w:val="both"/>
              <w:rPr>
                <w:rFonts w:ascii="Times New Roman" w:eastAsia="Times New Roman" w:hAnsi="Times New Roman" w:cs="Times New Roman"/>
                <w:b/>
                <w:sz w:val="24"/>
                <w:szCs w:val="24"/>
              </w:rPr>
            </w:pPr>
            <w:r w:rsidRPr="00743D56">
              <w:rPr>
                <w:rFonts w:ascii="Times New Roman" w:eastAsia="Times New Roman" w:hAnsi="Times New Roman" w:cs="Times New Roman"/>
                <w:b/>
                <w:sz w:val="24"/>
                <w:szCs w:val="24"/>
              </w:rPr>
              <w:t>50420000-5 Послуги з ремонту і технічного обслуговування медичного та хірургічного обладнання</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90B3D" w:rsidRDefault="008F4C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43D56" w:rsidRDefault="00743D56">
            <w:pPr>
              <w:widowControl w:val="0"/>
              <w:ind w:right="120"/>
              <w:jc w:val="both"/>
              <w:rPr>
                <w:rFonts w:ascii="Times New Roman" w:eastAsia="Times New Roman" w:hAnsi="Times New Roman" w:cs="Times New Roman"/>
                <w:color w:val="000000"/>
                <w:sz w:val="24"/>
                <w:szCs w:val="24"/>
              </w:rPr>
            </w:pPr>
          </w:p>
          <w:p w:rsidR="00743D56" w:rsidRDefault="00743D56">
            <w:pPr>
              <w:widowControl w:val="0"/>
              <w:ind w:right="120"/>
              <w:jc w:val="both"/>
              <w:rPr>
                <w:rFonts w:ascii="Times New Roman" w:eastAsia="Times New Roman" w:hAnsi="Times New Roman" w:cs="Times New Roman"/>
                <w:color w:val="000000"/>
                <w:sz w:val="24"/>
                <w:szCs w:val="24"/>
              </w:rPr>
            </w:pPr>
          </w:p>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90B3D" w:rsidRDefault="00A90B3D" w:rsidP="00743D56">
            <w:pPr>
              <w:widowControl w:val="0"/>
              <w:ind w:right="120"/>
              <w:jc w:val="both"/>
              <w:rPr>
                <w:rFonts w:ascii="Times New Roman" w:eastAsia="Times New Roman" w:hAnsi="Times New Roman" w:cs="Times New Roman"/>
                <w:i/>
                <w:color w:val="FF0000"/>
                <w:sz w:val="24"/>
                <w:szCs w:val="24"/>
                <w:highlight w:val="yellow"/>
              </w:rPr>
            </w:pPr>
          </w:p>
        </w:tc>
      </w:tr>
      <w:tr w:rsidR="00A90B3D" w:rsidTr="00743D56">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shd w:val="clear" w:color="auto" w:fill="auto"/>
          </w:tcPr>
          <w:p w:rsidR="00A90B3D" w:rsidRDefault="008F4C5F" w:rsidP="00743D56">
            <w:pPr>
              <w:widowControl w:val="0"/>
              <w:rPr>
                <w:rFonts w:ascii="Times New Roman" w:eastAsia="Times New Roman" w:hAnsi="Times New Roman" w:cs="Times New Roman"/>
                <w:color w:val="000000"/>
                <w:sz w:val="24"/>
                <w:szCs w:val="24"/>
                <w:highlight w:val="yellow"/>
              </w:rPr>
            </w:pPr>
            <w:r w:rsidRPr="00743D56">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743D56" w:rsidRDefault="00743D56" w:rsidP="00743D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43D56" w:rsidRPr="00115B62" w:rsidRDefault="00743D56" w:rsidP="00743D56">
            <w:pPr>
              <w:widowControl w:val="0"/>
              <w:ind w:right="120"/>
              <w:jc w:val="both"/>
              <w:rPr>
                <w:rFonts w:ascii="Times New Roman" w:eastAsia="Times New Roman" w:hAnsi="Times New Roman" w:cs="Times New Roman"/>
                <w:color w:val="4A86E8"/>
                <w:sz w:val="24"/>
                <w:szCs w:val="24"/>
              </w:rPr>
            </w:pPr>
          </w:p>
          <w:p w:rsidR="00A90B3D" w:rsidRDefault="00743D56" w:rsidP="00743D56">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A90B3D" w:rsidTr="00743D56">
        <w:trPr>
          <w:trHeight w:val="1018"/>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90B3D" w:rsidRDefault="00743D56">
            <w:pPr>
              <w:widowControl w:val="0"/>
              <w:rPr>
                <w:rFonts w:ascii="Times New Roman" w:eastAsia="Times New Roman" w:hAnsi="Times New Roman" w:cs="Times New Roman"/>
                <w:sz w:val="24"/>
                <w:szCs w:val="24"/>
                <w:highlight w:val="cyan"/>
              </w:rPr>
            </w:pPr>
            <w:r w:rsidRPr="00743D56">
              <w:rPr>
                <w:rFonts w:ascii="Times New Roman" w:eastAsia="Times New Roman" w:hAnsi="Times New Roman" w:cs="Times New Roman"/>
                <w:sz w:val="24"/>
                <w:szCs w:val="24"/>
              </w:rPr>
              <w:t xml:space="preserve">протягом </w:t>
            </w:r>
            <w:r w:rsidRPr="00743D56">
              <w:rPr>
                <w:rFonts w:ascii="Times New Roman" w:eastAsia="Times New Roman" w:hAnsi="Times New Roman" w:cs="Times New Roman"/>
                <w:b/>
                <w:sz w:val="24"/>
                <w:szCs w:val="24"/>
              </w:rPr>
              <w:t>2024</w:t>
            </w:r>
            <w:r w:rsidRPr="00743D56">
              <w:rPr>
                <w:rFonts w:ascii="Times New Roman" w:eastAsia="Times New Roman" w:hAnsi="Times New Roman" w:cs="Times New Roman"/>
                <w:sz w:val="24"/>
                <w:szCs w:val="24"/>
              </w:rPr>
              <w:t xml:space="preserve"> </w:t>
            </w:r>
            <w:r w:rsidRPr="00D6340A">
              <w:rPr>
                <w:rFonts w:ascii="Times New Roman" w:eastAsia="Times New Roman" w:hAnsi="Times New Roman" w:cs="Times New Roman"/>
                <w:b/>
                <w:sz w:val="24"/>
                <w:szCs w:val="24"/>
              </w:rPr>
              <w:t>року</w:t>
            </w:r>
          </w:p>
        </w:tc>
      </w:tr>
      <w:tr w:rsidR="00A90B3D">
        <w:trPr>
          <w:trHeight w:val="841"/>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90B3D" w:rsidRDefault="008F4C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743D56">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w:t>
            </w:r>
            <w:r w:rsidR="00743D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43D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правових форм беруть участь у процедурах закупівель на рівних умовах.</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90B3D" w:rsidRDefault="008F4C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43D56" w:rsidRDefault="00743D56">
            <w:pPr>
              <w:widowControl w:val="0"/>
              <w:jc w:val="both"/>
              <w:rPr>
                <w:rFonts w:ascii="Times New Roman" w:eastAsia="Times New Roman" w:hAnsi="Times New Roman" w:cs="Times New Roman"/>
                <w:color w:val="000000"/>
                <w:sz w:val="24"/>
                <w:szCs w:val="24"/>
              </w:rPr>
            </w:pP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43D56" w:rsidRDefault="00743D56">
            <w:pPr>
              <w:widowControl w:val="0"/>
              <w:jc w:val="both"/>
              <w:rPr>
                <w:rFonts w:ascii="Times New Roman" w:eastAsia="Times New Roman" w:hAnsi="Times New Roman" w:cs="Times New Roman"/>
                <w:color w:val="000000"/>
                <w:sz w:val="24"/>
                <w:szCs w:val="24"/>
              </w:rPr>
            </w:pP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3D56" w:rsidRDefault="00743D56">
            <w:pPr>
              <w:widowControl w:val="0"/>
              <w:jc w:val="both"/>
              <w:rPr>
                <w:rFonts w:ascii="Times New Roman" w:eastAsia="Times New Roman" w:hAnsi="Times New Roman" w:cs="Times New Roman"/>
                <w:color w:val="000000"/>
                <w:sz w:val="24"/>
                <w:szCs w:val="24"/>
              </w:rPr>
            </w:pPr>
          </w:p>
          <w:p w:rsidR="00743D56"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90B3D" w:rsidRDefault="008F4C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0B3D">
        <w:trPr>
          <w:trHeight w:val="501"/>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0B3D">
        <w:trPr>
          <w:trHeight w:val="1975"/>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90B3D" w:rsidRDefault="008F4C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 xml:space="preserve">Замовник повинен </w:t>
            </w:r>
            <w:r w:rsidRPr="00743D56">
              <w:rPr>
                <w:rFonts w:ascii="Times New Roman" w:eastAsia="Times New Roman" w:hAnsi="Times New Roman" w:cs="Times New Roman"/>
                <w:b/>
                <w:i/>
                <w:sz w:val="24"/>
                <w:szCs w:val="24"/>
              </w:rPr>
              <w:t>протягом трьох днів</w:t>
            </w:r>
            <w:r w:rsidRPr="00743D56">
              <w:rPr>
                <w:rFonts w:ascii="Times New Roman" w:eastAsia="Times New Roman" w:hAnsi="Times New Roman" w:cs="Times New Roman"/>
                <w:sz w:val="24"/>
                <w:szCs w:val="24"/>
              </w:rPr>
              <w:t xml:space="preserve"> з </w:t>
            </w:r>
            <w:r w:rsidRPr="00743D56">
              <w:rPr>
                <w:rFonts w:ascii="Times New Roman" w:eastAsia="Times New Roman" w:hAnsi="Times New Roman" w:cs="Times New Roman"/>
                <w:b/>
                <w:i/>
                <w:sz w:val="24"/>
                <w:szCs w:val="24"/>
              </w:rPr>
              <w:t>дня їх оприлюднення</w:t>
            </w:r>
            <w:r w:rsidRPr="00743D5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b/>
                <w:i/>
                <w:sz w:val="24"/>
                <w:szCs w:val="24"/>
                <w:highlight w:val="white"/>
              </w:rPr>
            </w:pPr>
            <w:r w:rsidRPr="00743D5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743D56">
              <w:rPr>
                <w:rFonts w:ascii="Times New Roman" w:eastAsia="Times New Roman" w:hAnsi="Times New Roman" w:cs="Times New Roman"/>
                <w:b/>
                <w:i/>
                <w:sz w:val="24"/>
                <w:szCs w:val="24"/>
                <w:highlight w:val="white"/>
              </w:rPr>
              <w:t>не менше ніж на чотири дні.</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43D56" w:rsidRPr="00743D56" w:rsidRDefault="00743D56">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i/>
                <w:sz w:val="24"/>
                <w:szCs w:val="24"/>
                <w:highlight w:val="white"/>
              </w:rPr>
            </w:pPr>
            <w:r w:rsidRPr="00743D5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43D56">
              <w:rPr>
                <w:rFonts w:ascii="Times New Roman" w:eastAsia="Times New Roman" w:hAnsi="Times New Roman" w:cs="Times New Roman"/>
                <w:b/>
                <w:i/>
                <w:sz w:val="24"/>
                <w:szCs w:val="24"/>
                <w:highlight w:val="white"/>
              </w:rPr>
              <w:t>не менше чотирьох днів.</w:t>
            </w:r>
          </w:p>
          <w:p w:rsidR="00743D56" w:rsidRPr="00743D56" w:rsidRDefault="00743D56">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r w:rsidRPr="00743D56">
              <w:rPr>
                <w:rFonts w:ascii="Times New Roman" w:eastAsia="Times New Roman" w:hAnsi="Times New Roman" w:cs="Times New Roman"/>
                <w:sz w:val="24"/>
                <w:szCs w:val="24"/>
                <w:highlight w:val="white"/>
              </w:rPr>
              <w:lastRenderedPageBreak/>
              <w:t>закупівель у новій редакції зазначених документації та/або оголошення додатково до їх попередньої редакції.</w:t>
            </w:r>
          </w:p>
          <w:p w:rsidR="00743D56" w:rsidRPr="00743D56" w:rsidRDefault="00743D56">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B3D">
        <w:trPr>
          <w:trHeight w:val="480"/>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F4C5F" w:rsidRDefault="008F4C5F">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4C5F" w:rsidRDefault="008F4C5F">
            <w:pPr>
              <w:widowControl w:val="0"/>
              <w:jc w:val="both"/>
              <w:rPr>
                <w:rFonts w:ascii="Times New Roman" w:eastAsia="Times New Roman" w:hAnsi="Times New Roman" w:cs="Times New Roman"/>
                <w:sz w:val="24"/>
                <w:szCs w:val="24"/>
                <w:highlight w:val="white"/>
              </w:rPr>
            </w:pP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90B3D" w:rsidRPr="008F4C5F" w:rsidRDefault="008F4C5F" w:rsidP="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F4C5F" w:rsidRDefault="008F4C5F" w:rsidP="001855D4">
            <w:pPr>
              <w:widowControl w:val="0"/>
              <w:ind w:left="36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1855D4" w:rsidRDefault="001855D4">
            <w:pPr>
              <w:widowControl w:val="0"/>
              <w:jc w:val="both"/>
              <w:rPr>
                <w:rFonts w:ascii="Times New Roman" w:eastAsia="Times New Roman" w:hAnsi="Times New Roman" w:cs="Times New Roman"/>
                <w:sz w:val="24"/>
                <w:szCs w:val="24"/>
              </w:rPr>
            </w:pPr>
          </w:p>
          <w:p w:rsidR="008F4C5F"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у строк, що не перевищує</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55D4" w:rsidRDefault="001855D4">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sz w:val="24"/>
                <w:szCs w:val="24"/>
              </w:rPr>
            </w:pPr>
            <w:r w:rsidRPr="001855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55D4" w:rsidRPr="001855D4" w:rsidRDefault="001855D4">
            <w:pPr>
              <w:widowControl w:val="0"/>
              <w:jc w:val="both"/>
              <w:rPr>
                <w:rFonts w:ascii="Times New Roman" w:eastAsia="Times New Roman" w:hAnsi="Times New Roman" w:cs="Times New Roman"/>
                <w:b/>
                <w:sz w:val="24"/>
                <w:szCs w:val="24"/>
              </w:rPr>
            </w:pPr>
          </w:p>
          <w:p w:rsidR="00A90B3D" w:rsidRDefault="008F4C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55D4" w:rsidRDefault="001855D4">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55D4" w:rsidRDefault="001855D4">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B3D" w:rsidRDefault="008F4C5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0B3D" w:rsidRDefault="00A90B3D">
            <w:pPr>
              <w:widowControl w:val="0"/>
              <w:ind w:left="40" w:hanging="20"/>
              <w:jc w:val="both"/>
              <w:rPr>
                <w:rFonts w:ascii="Times New Roman" w:eastAsia="Times New Roman" w:hAnsi="Times New Roman" w:cs="Times New Roman"/>
                <w:b/>
                <w:color w:val="000000"/>
                <w:sz w:val="24"/>
                <w:szCs w:val="24"/>
              </w:rPr>
            </w:pPr>
          </w:p>
          <w:p w:rsidR="00A90B3D" w:rsidRDefault="008F4C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4C5F" w:rsidRDefault="008F4C5F">
            <w:pPr>
              <w:widowControl w:val="0"/>
              <w:ind w:left="40" w:hanging="20"/>
              <w:jc w:val="both"/>
              <w:rPr>
                <w:rFonts w:ascii="Times New Roman" w:eastAsia="Times New Roman" w:hAnsi="Times New Roman" w:cs="Times New Roman"/>
                <w:color w:val="000000"/>
                <w:sz w:val="24"/>
                <w:szCs w:val="24"/>
              </w:rPr>
            </w:pPr>
          </w:p>
          <w:p w:rsidR="00A90B3D" w:rsidRDefault="008F4C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F4C5F" w:rsidRDefault="008F4C5F" w:rsidP="008F4C5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F4C5F" w:rsidRDefault="008F4C5F" w:rsidP="008F4C5F">
            <w:pPr>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4E99">
              <w:rPr>
                <w:rFonts w:ascii="Times New Roman" w:eastAsia="Times New Roman" w:hAnsi="Times New Roman" w:cs="Times New Roman"/>
                <w:b/>
                <w:sz w:val="24"/>
                <w:szCs w:val="24"/>
              </w:rPr>
              <w:t>сом (УЕП)</w:t>
            </w:r>
            <w:r w:rsidRPr="00E94E99">
              <w:rPr>
                <w:rFonts w:ascii="Times New Roman" w:eastAsia="Times New Roman" w:hAnsi="Times New Roman" w:cs="Times New Roman"/>
                <w:b/>
                <w:color w:val="000000"/>
                <w:sz w:val="24"/>
                <w:szCs w:val="24"/>
              </w:rPr>
              <w:t>;</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Pr="00E94E99"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Винятки:</w:t>
            </w: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Default="008F4C5F" w:rsidP="008F4C5F">
            <w:pPr>
              <w:widowControl w:val="0"/>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C5F" w:rsidRDefault="008F4C5F" w:rsidP="008F4C5F">
            <w:pPr>
              <w:widowControl w:val="0"/>
              <w:ind w:left="40" w:hanging="20"/>
              <w:jc w:val="both"/>
              <w:rPr>
                <w:rFonts w:ascii="Times New Roman" w:eastAsia="Times New Roman" w:hAnsi="Times New Roman" w:cs="Times New Roman"/>
                <w:b/>
                <w:sz w:val="24"/>
                <w:szCs w:val="24"/>
              </w:rPr>
            </w:pPr>
          </w:p>
          <w:p w:rsidR="008F4C5F" w:rsidRDefault="008F4C5F" w:rsidP="008F4C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94E99">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F4C5F" w:rsidRDefault="008F4C5F" w:rsidP="008F4C5F">
            <w:pPr>
              <w:widowControl w:val="0"/>
              <w:ind w:left="40" w:hanging="20"/>
              <w:jc w:val="both"/>
              <w:rPr>
                <w:rFonts w:ascii="Times New Roman" w:eastAsia="Times New Roman" w:hAnsi="Times New Roman" w:cs="Times New Roman"/>
                <w:b/>
                <w:color w:val="000000"/>
                <w:sz w:val="24"/>
                <w:szCs w:val="24"/>
              </w:rPr>
            </w:pPr>
          </w:p>
          <w:p w:rsidR="008F4C5F" w:rsidRDefault="008F4C5F">
            <w:pPr>
              <w:widowControl w:val="0"/>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90B3D" w:rsidRDefault="008F4C5F">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w:t>
            </w:r>
          </w:p>
          <w:p w:rsidR="00A90B3D" w:rsidRDefault="008F4C5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4C5F" w:rsidRDefault="008F4C5F">
            <w:pPr>
              <w:widowControl w:val="0"/>
              <w:jc w:val="both"/>
              <w:rPr>
                <w:rFonts w:ascii="Times New Roman" w:eastAsia="Times New Roman" w:hAnsi="Times New Roman" w:cs="Times New Roman"/>
                <w:sz w:val="24"/>
                <w:szCs w:val="24"/>
              </w:rPr>
            </w:pPr>
          </w:p>
          <w:p w:rsidR="00A90B3D" w:rsidRDefault="008F4C5F" w:rsidP="008F4C5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Pr="008F4C5F">
              <w:rPr>
                <w:rFonts w:ascii="Times New Roman" w:eastAsia="Times New Roman" w:hAnsi="Times New Roman" w:cs="Times New Roman"/>
                <w:sz w:val="24"/>
                <w:szCs w:val="24"/>
              </w:rPr>
              <w:t>.</w:t>
            </w:r>
          </w:p>
        </w:tc>
      </w:tr>
      <w:tr w:rsidR="00A90B3D">
        <w:trPr>
          <w:trHeight w:val="913"/>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505C5" w:rsidRDefault="009505C5">
            <w:pPr>
              <w:widowControl w:val="0"/>
              <w:ind w:right="120"/>
              <w:jc w:val="both"/>
              <w:rPr>
                <w:rFonts w:ascii="Times New Roman" w:eastAsia="Times New Roman" w:hAnsi="Times New Roman" w:cs="Times New Roman"/>
                <w:sz w:val="24"/>
                <w:szCs w:val="24"/>
              </w:rPr>
            </w:pPr>
          </w:p>
          <w:p w:rsidR="00A90B3D" w:rsidRPr="009505C5" w:rsidRDefault="008F4C5F">
            <w:pPr>
              <w:widowControl w:val="0"/>
              <w:ind w:right="120"/>
              <w:jc w:val="both"/>
              <w:rPr>
                <w:rFonts w:ascii="Times New Roman" w:eastAsia="Times New Roman" w:hAnsi="Times New Roman" w:cs="Times New Roman"/>
                <w:sz w:val="24"/>
                <w:szCs w:val="24"/>
              </w:rPr>
            </w:pPr>
            <w:r w:rsidRPr="009505C5">
              <w:rPr>
                <w:rFonts w:ascii="Times New Roman" w:eastAsia="Times New Roman" w:hAnsi="Times New Roman" w:cs="Times New Roman"/>
                <w:sz w:val="24"/>
                <w:szCs w:val="24"/>
              </w:rPr>
              <w:t xml:space="preserve">Забезпечення тендерної пропозиції не вимагається. </w:t>
            </w:r>
          </w:p>
          <w:p w:rsidR="00A90B3D" w:rsidRDefault="00A90B3D">
            <w:pPr>
              <w:widowControl w:val="0"/>
              <w:ind w:right="120"/>
              <w:jc w:val="both"/>
              <w:rPr>
                <w:rFonts w:ascii="Times New Roman" w:eastAsia="Times New Roman" w:hAnsi="Times New Roman" w:cs="Times New Roman"/>
                <w:sz w:val="28"/>
                <w:szCs w:val="28"/>
                <w:highlight w:val="cyan"/>
              </w:rPr>
            </w:pPr>
          </w:p>
          <w:p w:rsidR="00A90B3D" w:rsidRDefault="008F4C5F" w:rsidP="009505C5">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505C5" w:rsidRDefault="009505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90B3D" w:rsidRPr="009505C5" w:rsidRDefault="008F4C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05C5">
              <w:rPr>
                <w:rFonts w:ascii="Times New Roman" w:eastAsia="Times New Roman" w:hAnsi="Times New Roman" w:cs="Times New Roman"/>
                <w:sz w:val="24"/>
                <w:szCs w:val="24"/>
              </w:rPr>
              <w:t>Не передбачається.</w:t>
            </w:r>
          </w:p>
          <w:p w:rsidR="00A90B3D" w:rsidRDefault="00A90B3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90B3D" w:rsidRDefault="00A90B3D" w:rsidP="009505C5">
            <w:pPr>
              <w:jc w:val="both"/>
              <w:rPr>
                <w:rFonts w:ascii="Times New Roman" w:eastAsia="Times New Roman" w:hAnsi="Times New Roman" w:cs="Times New Roman"/>
                <w:sz w:val="24"/>
                <w:szCs w:val="24"/>
              </w:rPr>
            </w:pPr>
          </w:p>
        </w:tc>
      </w:tr>
      <w:tr w:rsidR="00A90B3D">
        <w:trPr>
          <w:trHeight w:val="560"/>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BE0968" w:rsidRPr="00BE0968">
              <w:rPr>
                <w:rFonts w:ascii="Times New Roman" w:eastAsia="Times New Roman" w:hAnsi="Times New Roman" w:cs="Times New Roman"/>
                <w:b/>
                <w:i/>
                <w:sz w:val="24"/>
                <w:szCs w:val="24"/>
                <w:u w:val="single"/>
              </w:rPr>
              <w:t>протягом 9</w:t>
            </w:r>
            <w:r w:rsidRPr="00BE0968">
              <w:rPr>
                <w:rFonts w:ascii="Times New Roman" w:eastAsia="Times New Roman" w:hAnsi="Times New Roman" w:cs="Times New Roman"/>
                <w:b/>
                <w:i/>
                <w:sz w:val="24"/>
                <w:szCs w:val="24"/>
                <w:u w:val="single"/>
              </w:rPr>
              <w:t>0 (</w:t>
            </w:r>
            <w:r w:rsidR="00BE0968" w:rsidRPr="00BE0968">
              <w:rPr>
                <w:rFonts w:ascii="Times New Roman" w:eastAsia="Times New Roman" w:hAnsi="Times New Roman" w:cs="Times New Roman"/>
                <w:b/>
                <w:i/>
                <w:sz w:val="24"/>
                <w:szCs w:val="24"/>
                <w:u w:val="single"/>
              </w:rPr>
              <w:t>дев’яносто</w:t>
            </w:r>
            <w:r w:rsidRPr="00BE0968">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B3D" w:rsidRDefault="008F4C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E0968" w:rsidRDefault="00BE0968">
            <w:pPr>
              <w:widowControl w:val="0"/>
              <w:jc w:val="both"/>
              <w:rPr>
                <w:rFonts w:ascii="Times New Roman" w:eastAsia="Times New Roman" w:hAnsi="Times New Roman" w:cs="Times New Roman"/>
                <w:sz w:val="24"/>
                <w:szCs w:val="24"/>
                <w:u w:val="singl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w:t>
            </w:r>
            <w:r w:rsidR="00BE0968">
              <w:rPr>
                <w:rFonts w:ascii="Times New Roman" w:eastAsia="Times New Roman" w:hAnsi="Times New Roman" w:cs="Times New Roman"/>
                <w:sz w:val="24"/>
                <w:szCs w:val="24"/>
              </w:rPr>
              <w:t>оданої ним тендерної пропозиції.</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E0968" w:rsidRDefault="00BE0968" w:rsidP="00BE09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0968" w:rsidRDefault="00BE0968" w:rsidP="00BE09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E0968" w:rsidRPr="00E94E99" w:rsidRDefault="00BE0968" w:rsidP="00BE0968">
            <w:pPr>
              <w:widowControl w:val="0"/>
              <w:ind w:right="120"/>
              <w:jc w:val="both"/>
              <w:rPr>
                <w:rFonts w:ascii="Times New Roman" w:eastAsia="Times New Roman" w:hAnsi="Times New Roman" w:cs="Times New Roman"/>
                <w:b/>
                <w:color w:val="000000" w:themeColor="text1"/>
                <w:sz w:val="24"/>
                <w:szCs w:val="24"/>
              </w:rPr>
            </w:pPr>
            <w:r w:rsidRPr="00E94E99">
              <w:rPr>
                <w:rFonts w:ascii="Times New Roman" w:eastAsia="Times New Roman" w:hAnsi="Times New Roman" w:cs="Times New Roman"/>
                <w:b/>
                <w:color w:val="000000" w:themeColor="text1"/>
                <w:sz w:val="24"/>
                <w:szCs w:val="24"/>
              </w:rPr>
              <w:t>Підстави, визначені пунктом 47 Особливостей.</w:t>
            </w:r>
          </w:p>
          <w:p w:rsidR="00BE0968" w:rsidRPr="00E94E99" w:rsidRDefault="00BE0968" w:rsidP="00BE096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8"/>
                <w:szCs w:val="28"/>
              </w:rPr>
              <w:t>3</w:t>
            </w:r>
            <w:r w:rsidRPr="00E94E99">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E94E99">
                <w:rPr>
                  <w:rFonts w:ascii="Times New Roman" w:eastAsia="Times New Roman" w:hAnsi="Times New Roman" w:cs="Times New Roman"/>
                  <w:color w:val="000000" w:themeColor="text1"/>
                  <w:sz w:val="24"/>
                  <w:szCs w:val="24"/>
                </w:rPr>
                <w:t>пунктом 4</w:t>
              </w:r>
            </w:hyperlink>
            <w:r w:rsidRPr="00E94E9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E94E99">
              <w:rPr>
                <w:rFonts w:ascii="Times New Roman" w:eastAsia="Times New Roman" w:hAnsi="Times New Roman" w:cs="Times New Roman"/>
                <w:color w:val="000000" w:themeColor="text1"/>
                <w:sz w:val="24"/>
                <w:szCs w:val="24"/>
              </w:rPr>
              <w:lastRenderedPageBreak/>
              <w:t>спотворення результатів тендерів;</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0968" w:rsidRDefault="00BE0968" w:rsidP="00BE0968">
            <w:pPr>
              <w:ind w:firstLine="567"/>
              <w:jc w:val="both"/>
              <w:rPr>
                <w:rFonts w:ascii="Times New Roman" w:eastAsia="Times New Roman" w:hAnsi="Times New Roman" w:cs="Times New Roman"/>
                <w:sz w:val="24"/>
                <w:szCs w:val="24"/>
                <w:highlight w:val="white"/>
              </w:rPr>
            </w:pPr>
          </w:p>
          <w:p w:rsidR="00A90B3D" w:rsidRDefault="00BE0968" w:rsidP="00BE09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90B3D" w:rsidRDefault="004D4753">
            <w:pPr>
              <w:widowControl w:val="0"/>
              <w:rPr>
                <w:rFonts w:ascii="Times New Roman" w:eastAsia="Times New Roman" w:hAnsi="Times New Roman" w:cs="Times New Roman"/>
                <w:sz w:val="24"/>
                <w:szCs w:val="24"/>
              </w:rPr>
            </w:pPr>
            <w:r w:rsidRPr="00E94E99">
              <w:rPr>
                <w:rFonts w:ascii="Times New Roman" w:eastAsia="Times New Roman" w:hAnsi="Times New Roman" w:cs="Times New Roman"/>
                <w:b/>
                <w:color w:val="000000"/>
                <w:sz w:val="24"/>
                <w:szCs w:val="24"/>
              </w:rPr>
              <w:t xml:space="preserve">Інформація про </w:t>
            </w:r>
            <w:r w:rsidRPr="00E94E99">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4D4753" w:rsidRDefault="004D4753" w:rsidP="004D4753">
            <w:pPr>
              <w:widowControl w:val="0"/>
              <w:ind w:right="120"/>
              <w:jc w:val="both"/>
              <w:rPr>
                <w:rFonts w:ascii="Times New Roman" w:eastAsia="Times New Roman" w:hAnsi="Times New Roman" w:cs="Times New Roman"/>
                <w:sz w:val="24"/>
                <w:szCs w:val="24"/>
              </w:rPr>
            </w:pPr>
            <w:r w:rsidRPr="004D4753">
              <w:rPr>
                <w:rFonts w:ascii="Times New Roman" w:eastAsia="Times New Roman" w:hAnsi="Times New Roman" w:cs="Times New Roman"/>
                <w:color w:val="000000"/>
                <w:sz w:val="24"/>
                <w:szCs w:val="24"/>
              </w:rPr>
              <w:t>Не передбачено.</w:t>
            </w:r>
          </w:p>
          <w:p w:rsidR="00A90B3D" w:rsidRDefault="00A90B3D">
            <w:pPr>
              <w:widowControl w:val="0"/>
              <w:ind w:right="120"/>
              <w:jc w:val="both"/>
              <w:rPr>
                <w:rFonts w:ascii="Times New Roman" w:eastAsia="Times New Roman" w:hAnsi="Times New Roman" w:cs="Times New Roman"/>
                <w:sz w:val="24"/>
                <w:szCs w:val="24"/>
              </w:rPr>
            </w:pPr>
          </w:p>
        </w:tc>
      </w:tr>
      <w:tr w:rsidR="00A90B3D">
        <w:trPr>
          <w:trHeight w:val="841"/>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B3D">
        <w:trPr>
          <w:trHeight w:val="44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90B3D" w:rsidRDefault="008F4C5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75B95" w:rsidRPr="00C75B95">
              <w:rPr>
                <w:rFonts w:ascii="Times New Roman" w:eastAsia="Times New Roman" w:hAnsi="Times New Roman" w:cs="Times New Roman"/>
                <w:b/>
                <w:sz w:val="24"/>
                <w:szCs w:val="24"/>
              </w:rPr>
              <w:t>04</w:t>
            </w:r>
            <w:r w:rsidR="00CF717E" w:rsidRPr="00C75B95">
              <w:rPr>
                <w:rFonts w:ascii="Times New Roman" w:eastAsia="Times New Roman" w:hAnsi="Times New Roman" w:cs="Times New Roman"/>
                <w:b/>
                <w:sz w:val="24"/>
                <w:szCs w:val="24"/>
              </w:rPr>
              <w:t xml:space="preserve"> травня </w:t>
            </w:r>
            <w:r w:rsidRPr="00C75B95">
              <w:rPr>
                <w:rFonts w:ascii="Times New Roman" w:eastAsia="Times New Roman" w:hAnsi="Times New Roman" w:cs="Times New Roman"/>
                <w:b/>
                <w:sz w:val="24"/>
                <w:szCs w:val="24"/>
              </w:rPr>
              <w:t>20</w:t>
            </w:r>
            <w:r w:rsidR="004D4753" w:rsidRPr="00C75B95">
              <w:rPr>
                <w:rFonts w:ascii="Times New Roman" w:eastAsia="Times New Roman" w:hAnsi="Times New Roman" w:cs="Times New Roman"/>
                <w:b/>
                <w:sz w:val="24"/>
                <w:szCs w:val="24"/>
              </w:rPr>
              <w:t>24</w:t>
            </w:r>
            <w:r w:rsidRPr="00C75B95">
              <w:rPr>
                <w:rFonts w:ascii="Times New Roman" w:eastAsia="Times New Roman" w:hAnsi="Times New Roman" w:cs="Times New Roman"/>
                <w:b/>
                <w:sz w:val="24"/>
                <w:szCs w:val="24"/>
              </w:rPr>
              <w:t xml:space="preserve"> року</w:t>
            </w:r>
            <w:r w:rsidR="00801ABA" w:rsidRPr="00C75B95">
              <w:rPr>
                <w:rFonts w:ascii="Times New Roman" w:eastAsia="Times New Roman" w:hAnsi="Times New Roman" w:cs="Times New Roman"/>
                <w:b/>
                <w:sz w:val="24"/>
                <w:szCs w:val="24"/>
              </w:rPr>
              <w:t>, 10:00 год.</w:t>
            </w:r>
          </w:p>
          <w:p w:rsidR="00015D41" w:rsidRDefault="00015D41">
            <w:pPr>
              <w:widowControl w:val="0"/>
              <w:ind w:left="40" w:right="120"/>
              <w:jc w:val="both"/>
              <w:rPr>
                <w:rFonts w:ascii="Times New Roman" w:eastAsia="Times New Roman" w:hAnsi="Times New Roman" w:cs="Times New Roman"/>
                <w:i/>
                <w:color w:val="4A86E8"/>
                <w:sz w:val="24"/>
                <w:szCs w:val="24"/>
                <w:highlight w:val="whit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15D41" w:rsidRDefault="00015D41">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15D41" w:rsidRDefault="00015D41">
            <w:pPr>
              <w:widowControl w:val="0"/>
              <w:jc w:val="both"/>
              <w:rPr>
                <w:rFonts w:ascii="Times New Roman" w:eastAsia="Times New Roman" w:hAnsi="Times New Roman" w:cs="Times New Roman"/>
                <w:sz w:val="24"/>
                <w:szCs w:val="24"/>
              </w:rPr>
            </w:pPr>
          </w:p>
          <w:p w:rsidR="00A90B3D" w:rsidRDefault="008F4C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5D41" w:rsidRDefault="00015D41">
            <w:pPr>
              <w:shd w:val="clear" w:color="auto" w:fill="FFFFFF"/>
              <w:jc w:val="both"/>
              <w:rPr>
                <w:rFonts w:ascii="Times New Roman" w:eastAsia="Times New Roman" w:hAnsi="Times New Roman" w:cs="Times New Roman"/>
                <w:sz w:val="24"/>
                <w:szCs w:val="24"/>
                <w:highlight w:val="white"/>
              </w:rPr>
            </w:pPr>
          </w:p>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5D41" w:rsidRDefault="00015D41">
            <w:pPr>
              <w:shd w:val="clear" w:color="auto" w:fill="FFFFFF"/>
              <w:jc w:val="both"/>
              <w:rPr>
                <w:rFonts w:ascii="Times New Roman" w:eastAsia="Times New Roman" w:hAnsi="Times New Roman" w:cs="Times New Roman"/>
                <w:sz w:val="24"/>
                <w:szCs w:val="24"/>
                <w:highlight w:val="white"/>
              </w:rPr>
            </w:pPr>
          </w:p>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rsidR="00CE44C6" w:rsidRDefault="00CE44C6">
            <w:pPr>
              <w:shd w:val="clear" w:color="auto" w:fill="FFFFFF"/>
              <w:jc w:val="both"/>
              <w:rPr>
                <w:rFonts w:ascii="Times New Roman" w:eastAsia="Times New Roman" w:hAnsi="Times New Roman" w:cs="Times New Roman"/>
                <w:sz w:val="24"/>
                <w:szCs w:val="24"/>
                <w:highlight w:val="white"/>
              </w:rPr>
            </w:pPr>
          </w:p>
        </w:tc>
      </w:tr>
      <w:tr w:rsidR="00A90B3D">
        <w:trPr>
          <w:trHeight w:val="51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E44C6" w:rsidRDefault="00CE44C6" w:rsidP="00CE44C6">
            <w:pPr>
              <w:widowControl w:val="0"/>
              <w:jc w:val="both"/>
              <w:rPr>
                <w:rFonts w:ascii="Times New Roman" w:eastAsia="Times New Roman" w:hAnsi="Times New Roman" w:cs="Times New Roman"/>
                <w:b/>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44C6" w:rsidRDefault="00CE44C6" w:rsidP="00CE44C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E44C6" w:rsidRDefault="00CE44C6" w:rsidP="00CE44C6">
            <w:pPr>
              <w:widowControl w:val="0"/>
              <w:jc w:val="both"/>
              <w:rPr>
                <w:rFonts w:ascii="Times New Roman" w:eastAsia="Times New Roman" w:hAnsi="Times New Roman" w:cs="Times New Roman"/>
                <w:i/>
                <w:sz w:val="24"/>
                <w:szCs w:val="24"/>
                <w:highlight w:val="white"/>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44C6" w:rsidRDefault="00CE44C6" w:rsidP="00CE44C6">
            <w:pPr>
              <w:widowControl w:val="0"/>
              <w:jc w:val="both"/>
              <w:rPr>
                <w:rFonts w:ascii="Times New Roman" w:eastAsia="Times New Roman" w:hAnsi="Times New Roman" w:cs="Times New Roman"/>
                <w:i/>
                <w:sz w:val="24"/>
                <w:szCs w:val="24"/>
                <w:highlight w:val="yellow"/>
              </w:rPr>
            </w:pPr>
          </w:p>
          <w:p w:rsidR="00CE44C6" w:rsidRDefault="00CE44C6" w:rsidP="00CE44C6">
            <w:pPr>
              <w:widowControl w:val="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 xml:space="preserve">Ціна тендерної пропозиції </w:t>
            </w:r>
            <w:r w:rsidRPr="00E94E99">
              <w:rPr>
                <w:rFonts w:ascii="Times New Roman" w:eastAsia="Times New Roman" w:hAnsi="Times New Roman" w:cs="Times New Roman"/>
                <w:color w:val="000000" w:themeColor="text1"/>
                <w:sz w:val="24"/>
                <w:szCs w:val="24"/>
              </w:rPr>
              <w:t xml:space="preserve">не може  </w:t>
            </w:r>
            <w:r w:rsidRPr="00E94E99">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44C6" w:rsidRPr="00E94E99"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 xml:space="preserve">До </w:t>
            </w:r>
            <w:r w:rsidRPr="00E94E99">
              <w:rPr>
                <w:rFonts w:ascii="Times New Roman" w:eastAsia="Times New Roman" w:hAnsi="Times New Roman" w:cs="Times New Roman"/>
                <w:color w:val="000000" w:themeColor="text1"/>
                <w:sz w:val="24"/>
                <w:szCs w:val="24"/>
              </w:rPr>
              <w:t xml:space="preserve">розгляду  не приймається </w:t>
            </w:r>
            <w:r w:rsidRPr="00E94E9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44C6" w:rsidRPr="00E94E99" w:rsidRDefault="00CE44C6" w:rsidP="00CE44C6">
            <w:pPr>
              <w:widowControl w:val="0"/>
              <w:jc w:val="both"/>
              <w:rPr>
                <w:rFonts w:ascii="Times New Roman" w:eastAsia="Times New Roman" w:hAnsi="Times New Roman" w:cs="Times New Roman"/>
                <w:b/>
                <w:color w:val="4A86E8"/>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44C6"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44C6"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E44C6" w:rsidRPr="00E94E99" w:rsidRDefault="00CE44C6" w:rsidP="00CE44C6">
            <w:pPr>
              <w:widowControl w:val="0"/>
              <w:jc w:val="both"/>
              <w:rPr>
                <w:rFonts w:ascii="Times New Roman" w:eastAsia="Times New Roman" w:hAnsi="Times New Roman" w:cs="Times New Roman"/>
                <w:color w:val="000000" w:themeColor="text1"/>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94E99">
              <w:rPr>
                <w:rFonts w:ascii="Times New Roman" w:eastAsia="Times New Roman" w:hAnsi="Times New Roman" w:cs="Times New Roman"/>
                <w:color w:val="000000" w:themeColor="text1"/>
                <w:sz w:val="24"/>
                <w:szCs w:val="24"/>
              </w:rPr>
              <w:t xml:space="preserve">товар, </w:t>
            </w:r>
            <w:r>
              <w:rPr>
                <w:rFonts w:ascii="Times New Roman" w:eastAsia="Times New Roman" w:hAnsi="Times New Roman" w:cs="Times New Roman"/>
                <w:sz w:val="24"/>
                <w:szCs w:val="24"/>
              </w:rPr>
              <w:t xml:space="preserve">що він </w:t>
            </w:r>
            <w:r w:rsidRPr="00E94E99">
              <w:rPr>
                <w:rFonts w:ascii="Times New Roman" w:eastAsia="Times New Roman" w:hAnsi="Times New Roman" w:cs="Times New Roman"/>
                <w:sz w:val="24"/>
                <w:szCs w:val="24"/>
              </w:rPr>
              <w:t xml:space="preserve">пропонує </w:t>
            </w:r>
            <w:r w:rsidRPr="00E94E99">
              <w:rPr>
                <w:rFonts w:ascii="Times New Roman" w:eastAsia="Times New Roman" w:hAnsi="Times New Roman" w:cs="Times New Roman"/>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94E99">
              <w:rPr>
                <w:rFonts w:ascii="Times New Roman" w:eastAsia="Times New Roman" w:hAnsi="Times New Roman" w:cs="Times New Roman"/>
                <w:sz w:val="24"/>
                <w:szCs w:val="24"/>
              </w:rPr>
              <w:t xml:space="preserve">усіх інших витрат, передбачених для </w:t>
            </w:r>
            <w:r w:rsidRPr="00E94E99">
              <w:rPr>
                <w:rFonts w:ascii="Times New Roman" w:eastAsia="Times New Roman" w:hAnsi="Times New Roman" w:cs="Times New Roman"/>
                <w:color w:val="000000" w:themeColor="text1"/>
                <w:sz w:val="24"/>
                <w:szCs w:val="24"/>
              </w:rPr>
              <w:t>товару</w:t>
            </w:r>
            <w:r w:rsidRPr="00E94E99">
              <w:rPr>
                <w:rFonts w:ascii="Times New Roman" w:eastAsia="Times New Roman" w:hAnsi="Times New Roman" w:cs="Times New Roman"/>
                <w:color w:val="FF0000"/>
                <w:sz w:val="24"/>
                <w:szCs w:val="24"/>
              </w:rPr>
              <w:t xml:space="preserve"> </w:t>
            </w:r>
            <w:r w:rsidRPr="00E94E99">
              <w:rPr>
                <w:rFonts w:ascii="Times New Roman" w:eastAsia="Times New Roman" w:hAnsi="Times New Roman" w:cs="Times New Roman"/>
                <w:sz w:val="24"/>
                <w:szCs w:val="24"/>
              </w:rPr>
              <w:t>даного виду.</w:t>
            </w:r>
          </w:p>
          <w:p w:rsidR="00CE44C6" w:rsidRPr="00E94E99"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sidRPr="00E94E9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CE44C6" w:rsidRDefault="00CE44C6" w:rsidP="00CE44C6">
            <w:pPr>
              <w:widowControl w:val="0"/>
              <w:jc w:val="both"/>
              <w:rPr>
                <w:rFonts w:ascii="Times New Roman" w:eastAsia="Times New Roman" w:hAnsi="Times New Roman" w:cs="Times New Roman"/>
                <w:sz w:val="24"/>
                <w:szCs w:val="24"/>
                <w:highlight w:val="yellow"/>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p>
          <w:p w:rsidR="00CE44C6" w:rsidRDefault="00CE44C6" w:rsidP="00CE44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44C6" w:rsidRDefault="00CE44C6" w:rsidP="00CE44C6">
            <w:pPr>
              <w:jc w:val="both"/>
              <w:rPr>
                <w:rFonts w:ascii="Times New Roman" w:eastAsia="Times New Roman" w:hAnsi="Times New Roman" w:cs="Times New Roman"/>
                <w:sz w:val="24"/>
                <w:szCs w:val="24"/>
                <w:highlight w:val="white"/>
              </w:rPr>
            </w:pPr>
          </w:p>
          <w:p w:rsidR="00CE44C6" w:rsidRDefault="00CE44C6" w:rsidP="00CE44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44C6" w:rsidRDefault="00CE44C6" w:rsidP="00CE44C6">
            <w:pPr>
              <w:jc w:val="both"/>
              <w:rPr>
                <w:rFonts w:ascii="Times New Roman" w:eastAsia="Times New Roman" w:hAnsi="Times New Roman" w:cs="Times New Roman"/>
                <w:strike/>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553DF1">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3DF1" w:rsidRDefault="00553DF1" w:rsidP="00CE44C6">
            <w:pPr>
              <w:widowControl w:val="0"/>
              <w:jc w:val="both"/>
              <w:rPr>
                <w:rFonts w:ascii="Times New Roman" w:eastAsia="Times New Roman" w:hAnsi="Times New Roman" w:cs="Times New Roman"/>
                <w:sz w:val="24"/>
                <w:szCs w:val="24"/>
                <w:highlight w:val="white"/>
              </w:rPr>
            </w:pPr>
          </w:p>
          <w:p w:rsidR="00A90B3D" w:rsidRDefault="00CE44C6" w:rsidP="00CE44C6">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3273" w:rsidRDefault="00CF3273" w:rsidP="00CF3273">
            <w:pPr>
              <w:widowControl w:val="0"/>
              <w:ind w:right="12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Pr>
                <w:rFonts w:ascii="Times New Roman" w:eastAsia="Times New Roman" w:hAnsi="Times New Roman" w:cs="Times New Roman"/>
                <w:sz w:val="24"/>
                <w:szCs w:val="24"/>
                <w:highlight w:val="white"/>
              </w:rPr>
              <w:lastRenderedPageBreak/>
              <w:t>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A90B3D" w:rsidRDefault="00CF3273" w:rsidP="00CF3273">
            <w:pPr>
              <w:widowControl w:val="0"/>
              <w:ind w:left="40" w:hanging="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4731" w:rsidRDefault="00394731" w:rsidP="0039473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4731" w:rsidRDefault="00394731" w:rsidP="00394731">
            <w:pPr>
              <w:jc w:val="both"/>
              <w:rPr>
                <w:rFonts w:ascii="Times New Roman" w:eastAsia="Times New Roman" w:hAnsi="Times New Roman" w:cs="Times New Roman"/>
                <w:b/>
                <w:i/>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94731" w:rsidRPr="00A4548F" w:rsidRDefault="00394731" w:rsidP="00394731">
            <w:pPr>
              <w:shd w:val="clear" w:color="auto" w:fill="FFFFFF"/>
              <w:ind w:firstLine="567"/>
              <w:jc w:val="both"/>
              <w:rPr>
                <w:rFonts w:ascii="Times New Roman" w:eastAsia="Times New Roman" w:hAnsi="Times New Roman" w:cs="Times New Roman"/>
                <w:color w:val="000000" w:themeColor="text1"/>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4731" w:rsidRDefault="00394731" w:rsidP="00394731">
            <w:pPr>
              <w:shd w:val="clear" w:color="auto" w:fill="FFFFFF"/>
              <w:ind w:firstLine="567"/>
              <w:jc w:val="both"/>
              <w:rPr>
                <w:rFonts w:ascii="Times New Roman" w:eastAsia="Times New Roman" w:hAnsi="Times New Roman" w:cs="Times New Roman"/>
                <w:b/>
                <w:i/>
                <w:sz w:val="24"/>
                <w:szCs w:val="24"/>
                <w:highlight w:val="white"/>
              </w:rPr>
            </w:pPr>
          </w:p>
          <w:p w:rsidR="00394731" w:rsidRDefault="00394731" w:rsidP="0039473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731" w:rsidRDefault="00394731" w:rsidP="00394731">
            <w:pPr>
              <w:ind w:firstLine="567"/>
              <w:jc w:val="both"/>
              <w:rPr>
                <w:rFonts w:ascii="Times New Roman" w:eastAsia="Times New Roman" w:hAnsi="Times New Roman" w:cs="Times New Roman"/>
                <w:sz w:val="24"/>
                <w:szCs w:val="24"/>
                <w:highlight w:val="white"/>
              </w:rPr>
            </w:pPr>
          </w:p>
          <w:p w:rsidR="00394731" w:rsidRDefault="00394731" w:rsidP="00394731">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A4548F">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94731" w:rsidRPr="00A4548F" w:rsidRDefault="00394731" w:rsidP="00394731">
            <w:pPr>
              <w:ind w:firstLine="567"/>
              <w:jc w:val="both"/>
              <w:rPr>
                <w:rFonts w:ascii="Times New Roman" w:eastAsia="Times New Roman" w:hAnsi="Times New Roman" w:cs="Times New Roman"/>
                <w:color w:val="000000" w:themeColor="text1"/>
                <w:sz w:val="24"/>
                <w:szCs w:val="24"/>
                <w:highlight w:val="white"/>
              </w:rPr>
            </w:pPr>
          </w:p>
          <w:p w:rsidR="00394731" w:rsidRDefault="00394731" w:rsidP="0039473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731" w:rsidRDefault="00394731" w:rsidP="00394731">
            <w:pPr>
              <w:jc w:val="both"/>
              <w:rPr>
                <w:rFonts w:ascii="Times New Roman" w:eastAsia="Times New Roman" w:hAnsi="Times New Roman" w:cs="Times New Roman"/>
                <w:sz w:val="24"/>
                <w:szCs w:val="24"/>
                <w:highlight w:val="white"/>
              </w:rPr>
            </w:pPr>
          </w:p>
          <w:p w:rsidR="00A90B3D" w:rsidRDefault="00394731" w:rsidP="0039473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0B3D">
        <w:trPr>
          <w:trHeight w:val="47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90B3D" w:rsidRDefault="008F4C5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42CE" w:rsidRDefault="000B42CE">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42CE" w:rsidRDefault="000B42CE">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23189" w:rsidRDefault="00123189">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189" w:rsidRDefault="00123189">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23189" w:rsidRDefault="00123189">
            <w:pPr>
              <w:widowControl w:val="0"/>
              <w:ind w:right="120"/>
              <w:jc w:val="both"/>
              <w:rPr>
                <w:rFonts w:ascii="Times New Roman" w:eastAsia="Times New Roman" w:hAnsi="Times New Roman" w:cs="Times New Roman"/>
                <w:sz w:val="24"/>
                <w:szCs w:val="24"/>
              </w:rPr>
            </w:pPr>
          </w:p>
          <w:p w:rsidR="00A90B3D" w:rsidRDefault="008F4C5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90B3D" w:rsidTr="00123189">
        <w:trPr>
          <w:trHeight w:val="1113"/>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23189" w:rsidRDefault="00123189" w:rsidP="00123189">
            <w:pPr>
              <w:widowControl w:val="0"/>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3189" w:rsidRPr="00A4548F" w:rsidRDefault="00123189" w:rsidP="00123189">
            <w:pPr>
              <w:widowControl w:val="0"/>
              <w:jc w:val="both"/>
              <w:rPr>
                <w:rFonts w:ascii="Times New Roman" w:eastAsia="Times New Roman" w:hAnsi="Times New Roman" w:cs="Times New Roman"/>
                <w:color w:val="000000" w:themeColor="text1"/>
                <w:sz w:val="24"/>
                <w:szCs w:val="24"/>
                <w:highlight w:val="white"/>
              </w:rPr>
            </w:pPr>
          </w:p>
          <w:p w:rsidR="00123189" w:rsidRDefault="00123189" w:rsidP="001231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3189" w:rsidRDefault="00123189" w:rsidP="00123189">
            <w:pPr>
              <w:widowControl w:val="0"/>
              <w:jc w:val="both"/>
              <w:rPr>
                <w:rFonts w:ascii="Times New Roman" w:eastAsia="Times New Roman" w:hAnsi="Times New Roman" w:cs="Times New Roman"/>
                <w:sz w:val="24"/>
                <w:szCs w:val="24"/>
                <w:highlight w:val="white"/>
              </w:rPr>
            </w:pPr>
          </w:p>
          <w:p w:rsidR="00123189" w:rsidRDefault="00123189" w:rsidP="0012318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123189" w:rsidRDefault="00123189" w:rsidP="00123189">
            <w:pPr>
              <w:shd w:val="clear" w:color="auto" w:fill="FFFFFF"/>
              <w:jc w:val="both"/>
              <w:rPr>
                <w:rFonts w:ascii="Times New Roman" w:eastAsia="Times New Roman" w:hAnsi="Times New Roman" w:cs="Times New Roman"/>
                <w:sz w:val="24"/>
                <w:szCs w:val="24"/>
              </w:rPr>
            </w:pP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p>
          <w:p w:rsidR="00A90B3D"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sidRPr="00A4548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4548F">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A4548F">
              <w:rPr>
                <w:rFonts w:ascii="Times New Roman" w:eastAsia="Times New Roman" w:hAnsi="Times New Roman" w:cs="Times New Roman"/>
                <w:sz w:val="24"/>
                <w:szCs w:val="24"/>
              </w:rPr>
              <w:t>.</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90B3D" w:rsidRDefault="008558F1">
            <w:pPr>
              <w:widowControl w:val="0"/>
              <w:jc w:val="both"/>
              <w:rPr>
                <w:rFonts w:ascii="Times New Roman" w:eastAsia="Times New Roman" w:hAnsi="Times New Roman" w:cs="Times New Roman"/>
                <w:sz w:val="24"/>
                <w:szCs w:val="24"/>
              </w:rPr>
            </w:pPr>
            <w:r w:rsidRPr="00A4548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90B3D" w:rsidRDefault="00A90B3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вимоги»;</w:t>
      </w:r>
    </w:p>
    <w:p w:rsidR="00423B25" w:rsidRDefault="00423B25" w:rsidP="00423B25">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423B25" w:rsidRDefault="00423B25" w:rsidP="00423B25">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90B3D" w:rsidRDefault="00A90B3D">
      <w:pPr>
        <w:widowControl w:val="0"/>
        <w:spacing w:after="0" w:line="240" w:lineRule="auto"/>
        <w:jc w:val="both"/>
        <w:rPr>
          <w:rFonts w:ascii="Times New Roman" w:eastAsia="Times New Roman" w:hAnsi="Times New Roman" w:cs="Times New Roman"/>
          <w:sz w:val="24"/>
          <w:szCs w:val="24"/>
        </w:rPr>
      </w:pPr>
    </w:p>
    <w:sectPr w:rsidR="00A90B3D">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5F" w:rsidRDefault="008F4C5F">
      <w:pPr>
        <w:spacing w:after="0" w:line="240" w:lineRule="auto"/>
      </w:pPr>
      <w:r>
        <w:separator/>
      </w:r>
    </w:p>
  </w:endnote>
  <w:endnote w:type="continuationSeparator" w:id="0">
    <w:p w:rsidR="008F4C5F" w:rsidRDefault="008F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F" w:rsidRDefault="008F4C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44F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5F" w:rsidRDefault="008F4C5F">
      <w:pPr>
        <w:spacing w:after="0" w:line="240" w:lineRule="auto"/>
      </w:pPr>
      <w:r>
        <w:separator/>
      </w:r>
    </w:p>
  </w:footnote>
  <w:footnote w:type="continuationSeparator" w:id="0">
    <w:p w:rsidR="008F4C5F" w:rsidRDefault="008F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F" w:rsidRDefault="008F4C5F" w:rsidP="000E7A46">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CF4"/>
    <w:multiLevelType w:val="multilevel"/>
    <w:tmpl w:val="6ACA41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3169EC"/>
    <w:multiLevelType w:val="multilevel"/>
    <w:tmpl w:val="9490E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1B77F0A"/>
    <w:multiLevelType w:val="multilevel"/>
    <w:tmpl w:val="EC04F4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0B3D"/>
    <w:rsid w:val="00015D41"/>
    <w:rsid w:val="000B42CE"/>
    <w:rsid w:val="000E7A46"/>
    <w:rsid w:val="00123189"/>
    <w:rsid w:val="001855D4"/>
    <w:rsid w:val="00193F4A"/>
    <w:rsid w:val="00394731"/>
    <w:rsid w:val="00423B25"/>
    <w:rsid w:val="004D4753"/>
    <w:rsid w:val="00553DF1"/>
    <w:rsid w:val="00607C3A"/>
    <w:rsid w:val="00743D56"/>
    <w:rsid w:val="00801ABA"/>
    <w:rsid w:val="008558F1"/>
    <w:rsid w:val="008F4C5F"/>
    <w:rsid w:val="009505C5"/>
    <w:rsid w:val="00A90B3D"/>
    <w:rsid w:val="00BE0968"/>
    <w:rsid w:val="00C75B95"/>
    <w:rsid w:val="00CB44F0"/>
    <w:rsid w:val="00CE44C6"/>
    <w:rsid w:val="00CF3273"/>
    <w:rsid w:val="00CF717E"/>
    <w:rsid w:val="00D63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E7A4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E7A46"/>
  </w:style>
  <w:style w:type="paragraph" w:styleId="af8">
    <w:name w:val="footer"/>
    <w:basedOn w:val="a"/>
    <w:link w:val="af9"/>
    <w:uiPriority w:val="99"/>
    <w:unhideWhenUsed/>
    <w:rsid w:val="000E7A4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E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E7A4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E7A46"/>
  </w:style>
  <w:style w:type="paragraph" w:styleId="af8">
    <w:name w:val="footer"/>
    <w:basedOn w:val="a"/>
    <w:link w:val="af9"/>
    <w:uiPriority w:val="99"/>
    <w:unhideWhenUsed/>
    <w:rsid w:val="000E7A4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E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oms.hosp@gmail."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s.hosp@gmai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34121</Words>
  <Characters>19450</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cp:revision>
  <dcterms:created xsi:type="dcterms:W3CDTF">2024-04-22T11:40:00Z</dcterms:created>
  <dcterms:modified xsi:type="dcterms:W3CDTF">2024-04-26T08:12:00Z</dcterms:modified>
</cp:coreProperties>
</file>