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Pr="00924FE5" w:rsidRDefault="00FC0447">
      <w:pPr>
        <w:shd w:val="clear" w:color="auto" w:fill="FFFFFF"/>
      </w:pPr>
      <w:r w:rsidRPr="00FC0447">
        <w:rPr>
          <w:u w:val="single"/>
        </w:rPr>
        <w:t>16</w:t>
      </w:r>
      <w:r w:rsidR="00444A01" w:rsidRPr="00FC0447">
        <w:rPr>
          <w:u w:val="single"/>
        </w:rPr>
        <w:t xml:space="preserve"> лютого</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sidR="00444A01">
        <w:rPr>
          <w:u w:val="single"/>
        </w:rPr>
        <w:t xml:space="preserve"> </w:t>
      </w:r>
      <w:r>
        <w:rPr>
          <w:u w:val="single"/>
        </w:rPr>
        <w:t>24</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0" w:name="_heading=h.1fob9te" w:colFirst="0" w:colLast="0"/>
      <w:bookmarkEnd w:id="0"/>
      <w:r>
        <w:rPr>
          <w:color w:val="000000"/>
        </w:rPr>
        <w:t xml:space="preserve">Про прийняття рішення про </w:t>
      </w:r>
      <w:r w:rsidRPr="00924FE5">
        <w:rPr>
          <w:color w:val="000000"/>
        </w:rPr>
        <w:t>зак</w:t>
      </w:r>
      <w:r w:rsidR="00924FE5" w:rsidRPr="00924FE5">
        <w:rPr>
          <w:color w:val="000000"/>
        </w:rPr>
        <w:t>упівлю</w:t>
      </w:r>
      <w:r w:rsidR="00444A01">
        <w:rPr>
          <w:b/>
          <w:color w:val="000000"/>
        </w:rPr>
        <w:t xml:space="preserve">  </w:t>
      </w:r>
      <w:r w:rsidR="00FC0447">
        <w:rPr>
          <w:b/>
          <w:color w:val="000000"/>
        </w:rPr>
        <w:t>Послуги з дератизації та дезінсекції</w:t>
      </w:r>
      <w:r w:rsidR="00444A01">
        <w:rPr>
          <w:b/>
          <w:color w:val="000000"/>
        </w:rPr>
        <w:t xml:space="preserve"> </w:t>
      </w:r>
      <w:r>
        <w:rPr>
          <w:color w:val="000000"/>
        </w:rPr>
        <w:t>за ДК 021:2015 Єдиного закупівельного словника</w:t>
      </w:r>
      <w:r w:rsidR="00924FE5">
        <w:rPr>
          <w:color w:val="000000"/>
        </w:rPr>
        <w:t xml:space="preserve"> </w:t>
      </w:r>
      <w:r w:rsidR="00FC0447">
        <w:rPr>
          <w:b/>
          <w:color w:val="000000"/>
        </w:rPr>
        <w:t>90920000-2</w:t>
      </w:r>
      <w:r w:rsidR="00444A01">
        <w:rPr>
          <w:b/>
          <w:color w:val="000000"/>
        </w:rPr>
        <w:t xml:space="preserve"> – «</w:t>
      </w:r>
      <w:r w:rsidR="00FC0447">
        <w:rPr>
          <w:b/>
          <w:color w:val="000000"/>
        </w:rPr>
        <w:t>Послуги із санітарно – гігієнічної обробки приміщень</w:t>
      </w:r>
      <w:r w:rsidR="00444A01">
        <w:rPr>
          <w:b/>
          <w:color w:val="000000"/>
        </w:rPr>
        <w:t>»</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1" w:name="_heading=h.3znysh7" w:colFirst="0" w:colLast="0"/>
      <w:bookmarkEnd w:id="1"/>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2" w:name="_heading=h.2et92p0" w:colFirst="0" w:colLast="0"/>
      <w:bookmarkEnd w:id="2"/>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3" w:name="_heading=h.tyjcwt" w:colFirst="0" w:colLast="0"/>
      <w:bookmarkEnd w:id="3"/>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4" w:name="_heading=h.3dy6vkm" w:colFirst="0" w:colLast="0"/>
            <w:bookmarkEnd w:id="4"/>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5" w:name="_heading=h.1t3h5sf" w:colFirst="0" w:colLast="0"/>
      <w:bookmarkEnd w:id="5"/>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6" w:name="_heading=h.4d34og8" w:colFirst="0" w:colLast="0"/>
      <w:bookmarkEnd w:id="6"/>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717622">
        <w:rPr>
          <w:color w:val="000000"/>
        </w:rPr>
        <w:t xml:space="preserve">купівлі (лотів) (за наявності): </w:t>
      </w:r>
      <w:r w:rsidR="0046792F">
        <w:rPr>
          <w:b/>
          <w:color w:val="000000"/>
        </w:rPr>
        <w:t xml:space="preserve">Послуги з дератизації та дезінсекції </w:t>
      </w:r>
      <w:r w:rsidR="006E368D">
        <w:rPr>
          <w:color w:val="000000"/>
        </w:rPr>
        <w:t xml:space="preserve">за ДК 021:2015 Єдиного закупівельного словника </w:t>
      </w:r>
      <w:r w:rsidR="0046792F">
        <w:rPr>
          <w:b/>
          <w:color w:val="000000"/>
        </w:rPr>
        <w:t>90920000-2</w:t>
      </w:r>
      <w:r w:rsidR="00717622">
        <w:rPr>
          <w:b/>
          <w:color w:val="000000"/>
        </w:rPr>
        <w:t xml:space="preserve"> – </w:t>
      </w:r>
      <w:r w:rsidR="00444A01">
        <w:rPr>
          <w:b/>
          <w:color w:val="000000"/>
        </w:rPr>
        <w:t>«</w:t>
      </w:r>
      <w:r w:rsidR="0046792F">
        <w:rPr>
          <w:b/>
          <w:color w:val="000000"/>
        </w:rPr>
        <w:t>Послуги із санітарно – гігієнічної обробки приміщень</w:t>
      </w:r>
      <w:r w:rsidR="00444A01">
        <w:rPr>
          <w:b/>
          <w:color w:val="000000"/>
        </w:rPr>
        <w:t>»</w:t>
      </w:r>
      <w:r w:rsidR="006E368D">
        <w:rPr>
          <w:b/>
          <w:color w:val="000000"/>
        </w:rPr>
        <w:t>.</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46792F">
        <w:rPr>
          <w:b/>
          <w:color w:val="000000"/>
        </w:rPr>
        <w:t>21069</w:t>
      </w:r>
      <w:r w:rsidR="006E368D" w:rsidRPr="006E368D">
        <w:rPr>
          <w:b/>
          <w:color w:val="000000"/>
        </w:rPr>
        <w:t>,</w:t>
      </w:r>
      <w:r w:rsidR="0046792F">
        <w:rPr>
          <w:b/>
          <w:color w:val="000000"/>
        </w:rPr>
        <w:t>48</w:t>
      </w:r>
      <w:r w:rsidR="006E368D" w:rsidRPr="006E368D">
        <w:rPr>
          <w:b/>
          <w:color w:val="000000"/>
        </w:rPr>
        <w:t xml:space="preserve"> грн</w:t>
      </w:r>
      <w:r w:rsidR="006E368D">
        <w:rPr>
          <w:color w:val="000000"/>
        </w:rPr>
        <w:t>.</w:t>
      </w:r>
      <w:r w:rsidR="00444A01">
        <w:rPr>
          <w:color w:val="000000"/>
        </w:rPr>
        <w:t xml:space="preserve">, </w:t>
      </w:r>
      <w:r w:rsidR="00444A01" w:rsidRPr="00444A01">
        <w:rPr>
          <w:b/>
          <w:color w:val="000000"/>
        </w:rPr>
        <w:t>з ПДВ</w:t>
      </w:r>
      <w:r w:rsidR="00444A01">
        <w:rPr>
          <w:b/>
          <w:color w:val="000000"/>
        </w:rPr>
        <w:t>.</w:t>
      </w:r>
      <w:r w:rsidR="0046792F">
        <w:rPr>
          <w:b/>
          <w:color w:val="000000"/>
        </w:rPr>
        <w:t xml:space="preserve"> (17557,90грн без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717622">
        <w:rPr>
          <w:b/>
          <w:color w:val="000000"/>
        </w:rPr>
        <w:t>КЕКВ 22</w:t>
      </w:r>
      <w:r w:rsidR="0046792F">
        <w:rPr>
          <w:b/>
          <w:color w:val="000000"/>
        </w:rPr>
        <w:t>4</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46792F">
        <w:rPr>
          <w:color w:val="000000"/>
        </w:rPr>
        <w:t>16</w:t>
      </w:r>
      <w:r w:rsidR="00444A01">
        <w:rPr>
          <w:color w:val="000000"/>
        </w:rPr>
        <w:t xml:space="preserve"> лютого</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7" w:name="_heading=h.17dp8vu" w:colFirst="0" w:colLast="0"/>
      <w:bookmarkEnd w:id="7"/>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85185B">
        <w:rPr>
          <w:b/>
          <w:color w:val="000000"/>
          <w:u w:val="single"/>
        </w:rPr>
        <w:t>16</w:t>
      </w:r>
      <w:r w:rsidR="000902A8">
        <w:rPr>
          <w:b/>
          <w:color w:val="000000"/>
          <w:u w:val="single"/>
        </w:rPr>
        <w:t xml:space="preserve"> лютого </w:t>
      </w:r>
      <w:r w:rsidR="00EC46ED" w:rsidRPr="00EC46ED">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85185B">
        <w:rPr>
          <w:b/>
          <w:color w:val="000000"/>
          <w:u w:val="single"/>
        </w:rPr>
        <w:t>№ 114</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8" w:name="bookmark=id.3rdcrjn" w:colFirst="0" w:colLast="0"/>
      <w:bookmarkEnd w:id="8"/>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9" w:name="bookmark=id.lnxbz9" w:colFirst="0" w:colLast="0"/>
      <w:bookmarkEnd w:id="9"/>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85185B">
        <w:rPr>
          <w:b/>
          <w:color w:val="000000"/>
          <w:u w:val="single"/>
        </w:rPr>
        <w:t>ВСП Тульчинський РВ ДУ «ВОЦКПХ МОЗ України»</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0902A8">
        <w:rPr>
          <w:b/>
          <w:color w:val="000000"/>
          <w:u w:val="single"/>
        </w:rPr>
        <w:t xml:space="preserve"> </w:t>
      </w:r>
      <w:r w:rsidR="0085185B">
        <w:rPr>
          <w:b/>
          <w:color w:val="000000"/>
          <w:u w:val="single"/>
        </w:rPr>
        <w:t>38585320</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0" w:name="bookmark=id.35nkun2" w:colFirst="0" w:colLast="0"/>
      <w:bookmarkEnd w:id="10"/>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85185B" w:rsidRPr="0085185B">
        <w:rPr>
          <w:b/>
          <w:color w:val="000000"/>
          <w:u w:val="single"/>
        </w:rPr>
        <w:t>23600,</w:t>
      </w:r>
      <w:r w:rsidR="00FA74A7">
        <w:rPr>
          <w:color w:val="000000"/>
        </w:rPr>
        <w:t xml:space="preserve"> </w:t>
      </w:r>
      <w:r w:rsidR="00FA74A7" w:rsidRPr="00FA74A7">
        <w:rPr>
          <w:b/>
          <w:color w:val="000000"/>
          <w:u w:val="single"/>
        </w:rPr>
        <w:t>В</w:t>
      </w:r>
      <w:r w:rsidR="00FA74A7">
        <w:rPr>
          <w:b/>
          <w:color w:val="000000"/>
          <w:u w:val="single"/>
        </w:rPr>
        <w:t>інницька обл.</w:t>
      </w:r>
      <w:r w:rsidR="001D294E" w:rsidRPr="00EC46ED">
        <w:rPr>
          <w:b/>
          <w:color w:val="000000"/>
          <w:u w:val="single"/>
        </w:rPr>
        <w:t>,</w:t>
      </w:r>
      <w:r w:rsidR="0085185B">
        <w:rPr>
          <w:b/>
          <w:color w:val="000000"/>
          <w:u w:val="single"/>
        </w:rPr>
        <w:t xml:space="preserve"> м. Тульчин</w:t>
      </w:r>
      <w:r w:rsidR="00FA74A7">
        <w:rPr>
          <w:b/>
          <w:color w:val="000000"/>
          <w:u w:val="single"/>
        </w:rPr>
        <w:t xml:space="preserve">, </w:t>
      </w:r>
      <w:r w:rsidR="0085185B">
        <w:rPr>
          <w:b/>
          <w:color w:val="000000"/>
          <w:u w:val="single"/>
        </w:rPr>
        <w:t>вул. Леонтовича</w:t>
      </w:r>
      <w:r w:rsidR="000902A8">
        <w:rPr>
          <w:b/>
          <w:color w:val="000000"/>
          <w:u w:val="single"/>
        </w:rPr>
        <w:t xml:space="preserve">, </w:t>
      </w:r>
      <w:r w:rsidR="0085185B">
        <w:rPr>
          <w:b/>
          <w:color w:val="000000"/>
          <w:u w:val="single"/>
        </w:rPr>
        <w:t>112</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0902A8">
        <w:rPr>
          <w:b/>
          <w:color w:val="000000"/>
          <w:u w:val="single"/>
        </w:rPr>
        <w:t>0</w:t>
      </w:r>
      <w:r w:rsidR="0085185B">
        <w:rPr>
          <w:b/>
          <w:color w:val="000000"/>
          <w:u w:val="single"/>
        </w:rPr>
        <w:t>2-26-73</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1" w:name="bookmark=id.1ksv4uv" w:colFirst="0" w:colLast="0"/>
      <w:bookmarkEnd w:id="11"/>
      <w:r>
        <w:rPr>
          <w:color w:val="000000"/>
        </w:rPr>
        <w:t>6. Назва предмета закупівлі</w:t>
      </w:r>
      <w:bookmarkStart w:id="12" w:name="bookmark=id.44sinio" w:colFirst="0" w:colLast="0"/>
      <w:bookmarkEnd w:id="12"/>
      <w:r>
        <w:rPr>
          <w:color w:val="000000"/>
        </w:rPr>
        <w:t>:</w:t>
      </w:r>
      <w:r w:rsidR="001D294E" w:rsidRPr="001D294E">
        <w:rPr>
          <w:color w:val="000000"/>
        </w:rPr>
        <w:t xml:space="preserve"> </w:t>
      </w:r>
      <w:r w:rsidR="001D294E">
        <w:rPr>
          <w:color w:val="000000"/>
        </w:rPr>
        <w:t xml:space="preserve">): </w:t>
      </w:r>
      <w:r w:rsidR="0085185B">
        <w:rPr>
          <w:b/>
          <w:color w:val="000000"/>
        </w:rPr>
        <w:t>Послуги з дератизації та дезінсекції</w:t>
      </w:r>
      <w:r w:rsidR="001D294E">
        <w:rPr>
          <w:color w:val="000000"/>
        </w:rPr>
        <w:t xml:space="preserve"> за ДК 021:2015 Єдиного закупівельного словника </w:t>
      </w:r>
      <w:r w:rsidR="0070016D">
        <w:rPr>
          <w:b/>
          <w:color w:val="000000"/>
        </w:rPr>
        <w:t>90920000-2</w:t>
      </w:r>
      <w:r w:rsidR="001D294E">
        <w:rPr>
          <w:b/>
          <w:color w:val="000000"/>
        </w:rPr>
        <w:t xml:space="preserve"> – </w:t>
      </w:r>
      <w:r w:rsidR="000902A8">
        <w:rPr>
          <w:b/>
          <w:color w:val="000000"/>
        </w:rPr>
        <w:t xml:space="preserve">« </w:t>
      </w:r>
      <w:r w:rsidR="0070016D">
        <w:rPr>
          <w:b/>
          <w:color w:val="000000"/>
        </w:rPr>
        <w:t>Послуги із санітарно – гігієнічної обробки приміщень</w:t>
      </w:r>
      <w:r w:rsidR="000902A8">
        <w:rPr>
          <w:b/>
          <w:color w:val="000000"/>
        </w:rPr>
        <w:t>»</w:t>
      </w:r>
      <w:r w:rsidR="001D294E">
        <w:rPr>
          <w:b/>
          <w:color w:val="000000"/>
        </w:rPr>
        <w:t>.</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3" w:name="_heading=h.2jxsxqh" w:colFirst="0" w:colLast="0"/>
      <w:bookmarkEnd w:id="13"/>
      <w:r>
        <w:rPr>
          <w:color w:val="000000"/>
        </w:rPr>
        <w:t>7. Кількість товарів, виконання робіт чи надання послуг:</w:t>
      </w:r>
      <w:r w:rsidR="001D294E">
        <w:rPr>
          <w:color w:val="000000"/>
        </w:rPr>
        <w:t xml:space="preserve">  </w:t>
      </w:r>
      <w:r w:rsidR="0070016D">
        <w:rPr>
          <w:b/>
          <w:color w:val="000000"/>
          <w:u w:val="single"/>
        </w:rPr>
        <w:t>1 послуга</w:t>
      </w:r>
      <w:r w:rsidR="00FA74A7">
        <w:rPr>
          <w:b/>
          <w:color w:val="000000"/>
          <w:u w:val="single"/>
        </w:rPr>
        <w:t>.</w:t>
      </w:r>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z337ya" w:colFirst="0" w:colLast="0"/>
      <w:bookmarkEnd w:id="14"/>
      <w:r>
        <w:rPr>
          <w:color w:val="000000"/>
        </w:rPr>
        <w:lastRenderedPageBreak/>
        <w:t>7.2. Строк поставки товарів, виконання робіт чи надання послуг</w:t>
      </w:r>
      <w:r w:rsidRPr="001D294E">
        <w:rPr>
          <w:color w:val="000000"/>
        </w:rPr>
        <w:t>:</w:t>
      </w:r>
      <w:r w:rsidR="001D294E">
        <w:rPr>
          <w:color w:val="000000"/>
        </w:rPr>
        <w:t xml:space="preserve"> </w:t>
      </w:r>
      <w:r w:rsidR="0070016D">
        <w:rPr>
          <w:b/>
          <w:color w:val="000000"/>
          <w:u w:val="single"/>
        </w:rPr>
        <w:t>до 26</w:t>
      </w:r>
      <w:r w:rsidR="008F518F">
        <w:rPr>
          <w:b/>
          <w:color w:val="000000"/>
          <w:u w:val="single"/>
        </w:rPr>
        <w:t>.</w:t>
      </w:r>
      <w:r w:rsidR="0070016D">
        <w:rPr>
          <w:b/>
          <w:color w:val="000000"/>
          <w:u w:val="single"/>
        </w:rPr>
        <w:t>12</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5" w:name="bookmark=id.3j2qqm3" w:colFirst="0" w:colLast="0"/>
      <w:bookmarkStart w:id="16" w:name="_heading=h.1y810tw" w:colFirst="0" w:colLast="0"/>
      <w:bookmarkEnd w:id="15"/>
      <w:bookmarkEnd w:id="16"/>
      <w:r>
        <w:rPr>
          <w:color w:val="000000"/>
        </w:rPr>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7" w:name="bookmark=id.4i7ojhp" w:colFirst="0" w:colLast="0"/>
      <w:bookmarkEnd w:id="17"/>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533525"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535933" cy="486538"/>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bookmarkStart w:id="18" w:name="_GoBack"/>
      <w:bookmarkEnd w:id="18"/>
    </w:p>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57E65"/>
    <w:rsid w:val="000902A8"/>
    <w:rsid w:val="001D294E"/>
    <w:rsid w:val="001F3C1D"/>
    <w:rsid w:val="001F66CC"/>
    <w:rsid w:val="004063C6"/>
    <w:rsid w:val="00444A01"/>
    <w:rsid w:val="0046792F"/>
    <w:rsid w:val="006E368D"/>
    <w:rsid w:val="0070016D"/>
    <w:rsid w:val="00717622"/>
    <w:rsid w:val="007D0109"/>
    <w:rsid w:val="008035B7"/>
    <w:rsid w:val="0085185B"/>
    <w:rsid w:val="008579CF"/>
    <w:rsid w:val="008F518F"/>
    <w:rsid w:val="00924FE5"/>
    <w:rsid w:val="00986E62"/>
    <w:rsid w:val="00B0639E"/>
    <w:rsid w:val="00D17CBF"/>
    <w:rsid w:val="00E61215"/>
    <w:rsid w:val="00EC46ED"/>
    <w:rsid w:val="00F7658E"/>
    <w:rsid w:val="00FA74A7"/>
    <w:rsid w:val="00FC044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1211</Words>
  <Characters>6904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cp:revision>
  <cp:lastPrinted>2024-02-16T07:43:00Z</cp:lastPrinted>
  <dcterms:created xsi:type="dcterms:W3CDTF">2024-01-23T10:33:00Z</dcterms:created>
  <dcterms:modified xsi:type="dcterms:W3CDTF">2024-02-16T07:44:00Z</dcterms:modified>
</cp:coreProperties>
</file>