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11AA" w14:textId="08F59DBB" w:rsidR="00314C45" w:rsidRPr="00314C45" w:rsidRDefault="00314C45" w:rsidP="00314C45">
      <w:pPr>
        <w:ind w:left="720"/>
        <w:jc w:val="right"/>
        <w:rPr>
          <w:color w:val="000000"/>
          <w:lang w:val="uk-UA"/>
        </w:rPr>
      </w:pPr>
      <w:r w:rsidRPr="00314C45">
        <w:rPr>
          <w:b/>
          <w:bCs/>
          <w:color w:val="000000"/>
          <w:lang w:val="uk-UA"/>
        </w:rPr>
        <w:t xml:space="preserve">ДОДАТОК </w:t>
      </w:r>
      <w:r w:rsidRPr="00314C45">
        <w:rPr>
          <w:b/>
          <w:bCs/>
          <w:color w:val="000000"/>
          <w:lang w:val="uk-UA"/>
        </w:rPr>
        <w:t>4</w:t>
      </w:r>
    </w:p>
    <w:p w14:paraId="0A3769E6" w14:textId="77777777" w:rsidR="00314C45" w:rsidRPr="00314C45" w:rsidRDefault="00314C45" w:rsidP="00314C45">
      <w:pPr>
        <w:shd w:val="clear" w:color="auto" w:fill="FFFFFF"/>
        <w:ind w:left="360" w:firstLine="360"/>
        <w:jc w:val="right"/>
        <w:rPr>
          <w:i/>
          <w:iCs/>
          <w:color w:val="000000"/>
          <w:lang w:val="uk-UA"/>
        </w:rPr>
      </w:pPr>
      <w:r w:rsidRPr="00314C45">
        <w:rPr>
          <w:i/>
          <w:iCs/>
          <w:color w:val="000000"/>
          <w:lang w:val="uk-UA"/>
        </w:rPr>
        <w:t xml:space="preserve">до тендерної документації </w:t>
      </w:r>
    </w:p>
    <w:p w14:paraId="0AE64671" w14:textId="77777777" w:rsidR="00314C45" w:rsidRPr="00726AB3" w:rsidRDefault="00314C45" w:rsidP="00314C45">
      <w:pPr>
        <w:shd w:val="clear" w:color="auto" w:fill="FFFFFF"/>
        <w:ind w:left="360" w:firstLine="360"/>
        <w:jc w:val="right"/>
        <w:rPr>
          <w:color w:val="000000"/>
          <w:lang w:val="uk-UA"/>
        </w:rPr>
      </w:pPr>
    </w:p>
    <w:p w14:paraId="3F292522" w14:textId="77777777" w:rsidR="00314C45" w:rsidRPr="00314C45" w:rsidRDefault="00314C45" w:rsidP="00314C45">
      <w:pPr>
        <w:shd w:val="clear" w:color="auto" w:fill="FFFFFF"/>
        <w:ind w:left="360" w:firstLine="360"/>
        <w:jc w:val="center"/>
        <w:outlineLvl w:val="0"/>
        <w:rPr>
          <w:b/>
          <w:lang w:val="uk-UA"/>
        </w:rPr>
      </w:pPr>
      <w:r w:rsidRPr="00314C45">
        <w:rPr>
          <w:b/>
          <w:lang w:val="uk-UA"/>
        </w:rPr>
        <w:t>Перелік критеріїв та методика оцінки тендерної пропозиції</w:t>
      </w:r>
    </w:p>
    <w:p w14:paraId="28825927" w14:textId="77777777" w:rsidR="00314C45" w:rsidRPr="00314C45" w:rsidRDefault="00314C45" w:rsidP="00314C45">
      <w:pPr>
        <w:shd w:val="clear" w:color="auto" w:fill="FFFFFF"/>
        <w:ind w:left="360" w:firstLine="360"/>
        <w:jc w:val="center"/>
        <w:rPr>
          <w:b/>
          <w:lang w:val="uk-UA"/>
        </w:rPr>
      </w:pPr>
      <w:r w:rsidRPr="00314C45">
        <w:rPr>
          <w:b/>
          <w:lang w:val="uk-UA"/>
        </w:rPr>
        <w:t>Оцінка тендерної пропозиції здійснюється на основі наступних критеріїв:</w:t>
      </w:r>
    </w:p>
    <w:p w14:paraId="2BA2F1CE" w14:textId="77777777" w:rsidR="00314C45" w:rsidRPr="00314C45" w:rsidRDefault="00314C45" w:rsidP="00314C45">
      <w:pPr>
        <w:shd w:val="clear" w:color="auto" w:fill="FFFFFF"/>
        <w:ind w:left="360" w:firstLine="360"/>
        <w:jc w:val="both"/>
        <w:rPr>
          <w:b/>
          <w:lang w:val="uk-UA"/>
        </w:rPr>
      </w:pPr>
    </w:p>
    <w:p w14:paraId="25232E00" w14:textId="77777777" w:rsidR="00314C45" w:rsidRPr="00314C45" w:rsidRDefault="00314C45" w:rsidP="00314C45">
      <w:pPr>
        <w:jc w:val="both"/>
        <w:rPr>
          <w:lang w:val="uk-UA"/>
        </w:rPr>
      </w:pPr>
      <w:r w:rsidRPr="00314C45">
        <w:rPr>
          <w:lang w:val="uk-UA"/>
        </w:rPr>
        <w:t>Ціна.</w:t>
      </w:r>
    </w:p>
    <w:p w14:paraId="51A87863" w14:textId="77777777" w:rsidR="00314C45" w:rsidRPr="00314C45" w:rsidRDefault="00314C45" w:rsidP="00314C45">
      <w:pPr>
        <w:jc w:val="both"/>
      </w:pPr>
      <w:r w:rsidRPr="00314C45">
        <w:rPr>
          <w:lang w:val="uk-UA"/>
        </w:rPr>
        <w:t xml:space="preserve">Інші критерії не застосовуються. </w:t>
      </w:r>
      <w:bookmarkStart w:id="0" w:name="_GoBack"/>
      <w:bookmarkEnd w:id="0"/>
    </w:p>
    <w:p w14:paraId="471F4542" w14:textId="77777777" w:rsidR="00314C45" w:rsidRPr="00314C45" w:rsidRDefault="00314C45" w:rsidP="00314C45">
      <w:pPr>
        <w:jc w:val="both"/>
        <w:rPr>
          <w:lang w:val="uk-UA"/>
        </w:rPr>
      </w:pPr>
      <w:r w:rsidRPr="00314C45">
        <w:rPr>
          <w:lang w:val="uk-UA"/>
        </w:rPr>
        <w:t xml:space="preserve">Питома вага цінового критерію = 100%. </w:t>
      </w:r>
    </w:p>
    <w:p w14:paraId="15B0BFE8" w14:textId="77777777" w:rsidR="00314C45" w:rsidRPr="00314C45" w:rsidRDefault="00314C45" w:rsidP="00314C45">
      <w:pPr>
        <w:jc w:val="both"/>
        <w:rPr>
          <w:lang w:val="uk-UA"/>
        </w:rPr>
      </w:pPr>
    </w:p>
    <w:p w14:paraId="38BEF356" w14:textId="77777777" w:rsidR="00314C45" w:rsidRPr="00314C45" w:rsidRDefault="00314C45" w:rsidP="00314C45">
      <w:pPr>
        <w:jc w:val="both"/>
        <w:rPr>
          <w:lang w:val="uk-UA"/>
        </w:rPr>
      </w:pPr>
      <w:r w:rsidRPr="00314C45">
        <w:rPr>
          <w:lang w:val="uk-UA"/>
        </w:rPr>
        <w:t>Р –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наступним чином:</w:t>
      </w:r>
    </w:p>
    <w:p w14:paraId="3293D783" w14:textId="2A3E76A2" w:rsidR="00314C45" w:rsidRPr="00314C45" w:rsidRDefault="00314C45" w:rsidP="00314C45">
      <w:pPr>
        <w:jc w:val="center"/>
        <w:rPr>
          <w:b/>
          <w:bCs/>
          <w:i/>
          <w:iCs/>
          <w:lang w:val="uk-UA"/>
        </w:rPr>
      </w:pPr>
      <w:bookmarkStart w:id="1" w:name="_Hlk151402736"/>
      <w:r w:rsidRPr="00314C45">
        <w:rPr>
          <w:b/>
          <w:bCs/>
          <w:i/>
          <w:iCs/>
          <w:lang w:val="uk-UA"/>
        </w:rPr>
        <w:t>Р = ∑ (</w:t>
      </w:r>
      <w:proofErr w:type="spellStart"/>
      <w:r w:rsidRPr="00314C45">
        <w:rPr>
          <w:b/>
          <w:bCs/>
          <w:i/>
          <w:iCs/>
          <w:lang w:val="uk-UA"/>
        </w:rPr>
        <w:t>Ni</w:t>
      </w:r>
      <w:proofErr w:type="spellEnd"/>
      <w:r w:rsidRPr="00314C45">
        <w:rPr>
          <w:b/>
          <w:bCs/>
          <w:i/>
          <w:iCs/>
          <w:lang w:val="uk-UA"/>
        </w:rPr>
        <w:t xml:space="preserve"> * </w:t>
      </w:r>
      <w:bookmarkStart w:id="2" w:name="_Hlk132963538"/>
      <w:r w:rsidRPr="00314C45">
        <w:rPr>
          <w:b/>
          <w:bCs/>
          <w:i/>
          <w:iCs/>
          <w:lang w:val="uk-UA"/>
        </w:rPr>
        <w:t>(</w:t>
      </w:r>
      <w:proofErr w:type="spellStart"/>
      <w:r w:rsidRPr="00314C45">
        <w:rPr>
          <w:b/>
          <w:bCs/>
          <w:i/>
          <w:iCs/>
          <w:lang w:val="uk-UA"/>
        </w:rPr>
        <w:t>К</w:t>
      </w:r>
      <w:r w:rsidRPr="00314C45">
        <w:rPr>
          <w:b/>
          <w:bCs/>
          <w:i/>
          <w:iCs/>
          <w:lang w:val="uk-UA" w:eastAsia="zh-CN"/>
        </w:rPr>
        <w:t>др</w:t>
      </w:r>
      <w:proofErr w:type="spellEnd"/>
      <w:r w:rsidRPr="00314C45">
        <w:rPr>
          <w:b/>
          <w:bCs/>
          <w:i/>
          <w:iCs/>
          <w:lang w:val="uk-UA"/>
        </w:rPr>
        <w:t>*</w:t>
      </w:r>
      <w:proofErr w:type="spellStart"/>
      <w:r w:rsidRPr="00314C45">
        <w:rPr>
          <w:b/>
          <w:bCs/>
          <w:i/>
          <w:iCs/>
          <w:lang w:val="uk-UA"/>
        </w:rPr>
        <w:t>Цпрогн.рдн</w:t>
      </w:r>
      <w:proofErr w:type="spellEnd"/>
      <w:r w:rsidRPr="00314C45">
        <w:rPr>
          <w:b/>
          <w:bCs/>
          <w:i/>
          <w:iCs/>
          <w:lang w:val="uk-UA"/>
        </w:rPr>
        <w:t xml:space="preserve"> </w:t>
      </w:r>
      <w:bookmarkEnd w:id="2"/>
      <w:r w:rsidRPr="00314C45">
        <w:rPr>
          <w:b/>
          <w:bCs/>
          <w:i/>
          <w:iCs/>
          <w:lang w:val="uk-UA"/>
        </w:rPr>
        <w:t>+</w:t>
      </w:r>
      <w:proofErr w:type="spellStart"/>
      <w:r w:rsidRPr="00314C45">
        <w:rPr>
          <w:b/>
          <w:bCs/>
          <w:i/>
          <w:iCs/>
          <w:lang w:val="uk-UA"/>
        </w:rPr>
        <w:t>М+Тпер</w:t>
      </w:r>
      <w:proofErr w:type="spellEnd"/>
      <w:r w:rsidRPr="00314C45">
        <w:rPr>
          <w:b/>
          <w:bCs/>
          <w:i/>
          <w:iCs/>
          <w:lang w:val="uk-UA"/>
        </w:rPr>
        <w:t>)) * 1,2</w:t>
      </w:r>
      <w:bookmarkEnd w:id="1"/>
      <w:r w:rsidRPr="00314C45">
        <w:rPr>
          <w:b/>
          <w:bCs/>
          <w:i/>
          <w:iCs/>
          <w:lang w:val="uk-UA"/>
        </w:rPr>
        <w:t xml:space="preserve">, грн з ПДВ </w:t>
      </w:r>
    </w:p>
    <w:p w14:paraId="3959E451" w14:textId="77777777" w:rsidR="00314C45" w:rsidRPr="00314C45" w:rsidRDefault="00314C45" w:rsidP="00314C45">
      <w:pPr>
        <w:jc w:val="center"/>
        <w:rPr>
          <w:b/>
          <w:bCs/>
          <w:lang w:val="uk-UA"/>
        </w:rPr>
      </w:pPr>
    </w:p>
    <w:p w14:paraId="2C7BD3E6" w14:textId="0C9ECFC6" w:rsidR="00314C45" w:rsidRPr="00314C45" w:rsidRDefault="00314C45" w:rsidP="00314C45">
      <w:pPr>
        <w:ind w:firstLine="426"/>
        <w:jc w:val="both"/>
        <w:rPr>
          <w:lang w:val="uk-UA" w:eastAsia="zh-CN"/>
        </w:rPr>
      </w:pPr>
      <w:r w:rsidRPr="00314C45">
        <w:rPr>
          <w:lang w:val="uk-UA"/>
        </w:rPr>
        <w:t>де,</w:t>
      </w:r>
      <w:r w:rsidRPr="00314C45">
        <w:rPr>
          <w:b/>
          <w:bCs/>
          <w:lang w:val="uk-UA"/>
        </w:rPr>
        <w:t xml:space="preserve"> </w:t>
      </w:r>
      <w:proofErr w:type="spellStart"/>
      <w:r w:rsidRPr="00314C45">
        <w:rPr>
          <w:lang w:val="uk-UA"/>
        </w:rPr>
        <w:t>Ni</w:t>
      </w:r>
      <w:proofErr w:type="spellEnd"/>
      <w:r w:rsidRPr="00314C45">
        <w:rPr>
          <w:lang w:val="uk-UA"/>
        </w:rPr>
        <w:t xml:space="preserve"> – плановий обсяг закупівлі електричної енергії для відповідного об’єкта Споживача, </w:t>
      </w:r>
      <w:r w:rsidRPr="00314C45">
        <w:rPr>
          <w:lang w:val="uk-UA" w:eastAsia="zh-CN"/>
        </w:rPr>
        <w:t>кВт*год</w:t>
      </w:r>
    </w:p>
    <w:p w14:paraId="257CE61D" w14:textId="77777777" w:rsidR="00314C45" w:rsidRPr="00314C45" w:rsidRDefault="00314C45" w:rsidP="00314C45">
      <w:pPr>
        <w:ind w:firstLine="708"/>
        <w:jc w:val="both"/>
        <w:rPr>
          <w:lang w:val="uk-UA" w:eastAsia="zh-CN"/>
        </w:rPr>
      </w:pPr>
      <w:proofErr w:type="spellStart"/>
      <w:r w:rsidRPr="00314C45">
        <w:rPr>
          <w:lang w:val="uk-UA" w:eastAsia="zh-CN"/>
        </w:rPr>
        <w:t>Кдр</w:t>
      </w:r>
      <w:proofErr w:type="spellEnd"/>
      <w:r w:rsidRPr="00314C45">
        <w:rPr>
          <w:lang w:val="uk-UA" w:eastAsia="zh-CN"/>
        </w:rPr>
        <w:t xml:space="preserve"> – коефіцієнт, що враховує додаткові ризики учасника, включаючи витрати плату за небаланси, за операції купівлі-продажу на ринку «на добу наперед» та внутрішньодобовому ринку, що не може бути меншим, ніж 1,02,</w:t>
      </w:r>
      <w:r w:rsidRPr="00314C45">
        <w:t xml:space="preserve"> </w:t>
      </w:r>
      <w:r w:rsidRPr="00314C45">
        <w:rPr>
          <w:lang w:val="uk-UA" w:eastAsia="zh-CN"/>
        </w:rPr>
        <w:t xml:space="preserve">крім витрат на послуги з передачі та розподілу. </w:t>
      </w:r>
    </w:p>
    <w:p w14:paraId="4394ABEB" w14:textId="77777777" w:rsidR="00314C45" w:rsidRPr="00314C45" w:rsidRDefault="00314C45" w:rsidP="00314C45">
      <w:pPr>
        <w:ind w:firstLine="708"/>
        <w:jc w:val="both"/>
        <w:rPr>
          <w:lang w:val="uk-UA" w:eastAsia="zh-CN"/>
        </w:rPr>
      </w:pPr>
      <w:proofErr w:type="spellStart"/>
      <w:r w:rsidRPr="00314C45">
        <w:t>Цпрогн</w:t>
      </w:r>
      <w:proofErr w:type="spellEnd"/>
      <w:r w:rsidRPr="00314C45">
        <w:t>.</w:t>
      </w:r>
      <w:proofErr w:type="spellStart"/>
      <w:r w:rsidRPr="00314C45">
        <w:rPr>
          <w:lang w:val="uk-UA"/>
        </w:rPr>
        <w:t>рдн</w:t>
      </w:r>
      <w:proofErr w:type="spellEnd"/>
      <w:r w:rsidRPr="00314C45">
        <w:rPr>
          <w:lang w:val="uk-UA"/>
        </w:rPr>
        <w:t xml:space="preserve"> </w:t>
      </w:r>
      <w:r w:rsidRPr="00314C45">
        <w:t xml:space="preserve">– </w:t>
      </w:r>
      <w:proofErr w:type="spellStart"/>
      <w:r w:rsidRPr="00314C45">
        <w:t>прогнозована</w:t>
      </w:r>
      <w:proofErr w:type="spellEnd"/>
      <w:r w:rsidRPr="00314C45">
        <w:t xml:space="preserve"> </w:t>
      </w:r>
      <w:proofErr w:type="spellStart"/>
      <w:r w:rsidRPr="00314C45">
        <w:t>ціна</w:t>
      </w:r>
      <w:proofErr w:type="spellEnd"/>
      <w:r w:rsidRPr="00314C45">
        <w:rPr>
          <w:lang w:val="uk-UA"/>
        </w:rPr>
        <w:t xml:space="preserve"> РДН</w:t>
      </w:r>
      <w:r w:rsidRPr="00314C45">
        <w:t xml:space="preserve">, яка для </w:t>
      </w:r>
      <w:proofErr w:type="spellStart"/>
      <w:r w:rsidRPr="00314C45">
        <w:t>даної</w:t>
      </w:r>
      <w:proofErr w:type="spellEnd"/>
      <w:r w:rsidRPr="00314C45">
        <w:t xml:space="preserve"> </w:t>
      </w:r>
      <w:proofErr w:type="spellStart"/>
      <w:r w:rsidRPr="00314C45">
        <w:t>закупівлі</w:t>
      </w:r>
      <w:proofErr w:type="spellEnd"/>
      <w:r w:rsidRPr="00314C45">
        <w:t xml:space="preserve"> становить – </w:t>
      </w:r>
      <w:r w:rsidRPr="00314C45">
        <w:rPr>
          <w:lang w:val="uk-UA" w:eastAsia="zh-CN"/>
        </w:rPr>
        <w:t>4,76000 грн. за 1 кВт*год без ПДВ. Дане значення визначено як середньозважену ціну на РДН у торговій зоні Об'єднана Енергетична Система України  за листопад 2023 року – 4,35780</w:t>
      </w:r>
      <w:r w:rsidRPr="00314C45">
        <w:rPr>
          <w:lang w:eastAsia="zh-CN"/>
        </w:rPr>
        <w:t xml:space="preserve"> </w:t>
      </w:r>
      <w:r w:rsidRPr="00314C45">
        <w:rPr>
          <w:lang w:val="uk-UA" w:eastAsia="zh-CN"/>
        </w:rPr>
        <w:t>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w:t>
      </w:r>
    </w:p>
    <w:p w14:paraId="399437DB" w14:textId="77777777" w:rsidR="00314C45" w:rsidRPr="00314C45" w:rsidRDefault="00314C45" w:rsidP="00314C45">
      <w:pPr>
        <w:ind w:firstLine="708"/>
        <w:jc w:val="both"/>
        <w:rPr>
          <w:lang w:val="uk-UA"/>
        </w:rPr>
      </w:pPr>
      <w:proofErr w:type="spellStart"/>
      <w:r w:rsidRPr="00314C45">
        <w:rPr>
          <w:lang w:val="uk-UA"/>
        </w:rPr>
        <w:t>Тпер</w:t>
      </w:r>
      <w:proofErr w:type="spellEnd"/>
      <w:r w:rsidRPr="00314C45">
        <w:rPr>
          <w:lang w:val="uk-UA"/>
        </w:rPr>
        <w:t xml:space="preserve"> </w:t>
      </w:r>
      <w:r w:rsidRPr="00314C45">
        <w:rPr>
          <w:lang w:val="uk-UA" w:eastAsia="zh-CN"/>
        </w:rPr>
        <w:t xml:space="preserve">– </w:t>
      </w:r>
      <w:r w:rsidRPr="00314C45">
        <w:rPr>
          <w:lang w:val="uk-UA"/>
        </w:rPr>
        <w:t xml:space="preserve"> тариф на послуги з передачі електричної енергії – 0,52857</w:t>
      </w:r>
      <w:r w:rsidRPr="00314C45">
        <w:rPr>
          <w:rFonts w:ascii="ProbaPro" w:hAnsi="ProbaPro"/>
          <w:shd w:val="clear" w:color="auto" w:fill="FFFFFF"/>
          <w:lang w:val="uk-UA"/>
        </w:rPr>
        <w:t xml:space="preserve"> </w:t>
      </w:r>
      <w:r w:rsidRPr="00314C45">
        <w:rPr>
          <w:lang w:val="uk-UA"/>
        </w:rPr>
        <w:t>грн. за 1 кВт*год без ПДВ.(Згідно Постанови НКРЕКП від 09.12.2023 № 2322 «Про встановлення тарифу на послуги з передачі електричної енергії НЕК «УКРЕНЕРГО»).</w:t>
      </w:r>
    </w:p>
    <w:p w14:paraId="062F8C1A" w14:textId="77777777" w:rsidR="00314C45" w:rsidRPr="00314C45" w:rsidRDefault="00314C45" w:rsidP="00314C45">
      <w:pPr>
        <w:ind w:firstLine="708"/>
        <w:jc w:val="both"/>
        <w:rPr>
          <w:lang w:val="uk-UA"/>
        </w:rPr>
      </w:pPr>
      <w:r w:rsidRPr="00314C45">
        <w:rPr>
          <w:lang w:val="uk-UA"/>
        </w:rPr>
        <w:t>1,2 – математичне вираження ставки податку на додану вартість (ПДВ-20 %);</w:t>
      </w:r>
    </w:p>
    <w:p w14:paraId="691E761E" w14:textId="77777777" w:rsidR="00314C45" w:rsidRPr="00314C45" w:rsidRDefault="00314C45" w:rsidP="00314C45">
      <w:pPr>
        <w:ind w:firstLine="708"/>
        <w:jc w:val="both"/>
      </w:pPr>
      <w:r w:rsidRPr="00314C45">
        <w:rPr>
          <w:lang w:val="uk-UA"/>
        </w:rPr>
        <w:t>М – маржа (вартість послуг постачальника) запропонована учасником</w:t>
      </w:r>
      <w:r w:rsidRPr="00314C45">
        <w:t xml:space="preserve">. </w:t>
      </w:r>
    </w:p>
    <w:p w14:paraId="59615FCD" w14:textId="77777777" w:rsidR="00314C45" w:rsidRPr="00314C45" w:rsidRDefault="00314C45" w:rsidP="00314C45">
      <w:pPr>
        <w:tabs>
          <w:tab w:val="left" w:pos="1276"/>
        </w:tabs>
        <w:spacing w:line="0" w:lineRule="atLeast"/>
        <w:ind w:firstLine="709"/>
        <w:jc w:val="both"/>
        <w:rPr>
          <w:i/>
          <w:iCs/>
          <w:lang w:val="uk-UA" w:eastAsia="uk-UA"/>
        </w:rPr>
      </w:pPr>
      <w:r w:rsidRPr="00314C45">
        <w:rPr>
          <w:lang w:val="uk-UA" w:eastAsia="uk-UA"/>
        </w:rPr>
        <w:t xml:space="preserve">Маржа </w:t>
      </w:r>
      <w:r w:rsidRPr="00314C45">
        <w:rPr>
          <w:b/>
          <w:bCs/>
          <w:u w:val="single"/>
          <w:lang w:val="uk-UA" w:eastAsia="uk-UA"/>
        </w:rPr>
        <w:t>не може бути величиною від’ємною</w:t>
      </w:r>
      <w:r w:rsidRPr="00314C45">
        <w:rPr>
          <w:lang w:val="uk-UA" w:eastAsia="uk-UA"/>
        </w:rPr>
        <w:t>,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w:t>
      </w:r>
      <w:r w:rsidRPr="00314C45">
        <w:rPr>
          <w:b/>
          <w:bCs/>
          <w:lang w:val="uk-UA" w:eastAsia="uk-UA"/>
        </w:rPr>
        <w:t xml:space="preserve"> </w:t>
      </w:r>
      <w:r w:rsidRPr="00314C45">
        <w:rPr>
          <w:i/>
          <w:iCs/>
          <w:lang w:val="uk-UA" w:eastAsia="uk-UA"/>
        </w:rPr>
        <w:t>На підтвердження надати лист-</w:t>
      </w:r>
      <w:proofErr w:type="spellStart"/>
      <w:r w:rsidRPr="00314C45">
        <w:rPr>
          <w:i/>
          <w:iCs/>
          <w:lang w:val="uk-UA" w:eastAsia="uk-UA"/>
        </w:rPr>
        <w:t>гаарнтію</w:t>
      </w:r>
      <w:proofErr w:type="spellEnd"/>
      <w:r w:rsidRPr="00314C45">
        <w:rPr>
          <w:i/>
          <w:iCs/>
          <w:lang w:val="uk-UA" w:eastAsia="uk-UA"/>
        </w:rPr>
        <w:t>.</w:t>
      </w:r>
    </w:p>
    <w:p w14:paraId="5266E774" w14:textId="77777777" w:rsidR="00314C45" w:rsidRPr="00314C45" w:rsidRDefault="00314C45" w:rsidP="00314C45">
      <w:pPr>
        <w:jc w:val="center"/>
        <w:rPr>
          <w:lang w:val="uk-UA"/>
        </w:rPr>
      </w:pPr>
    </w:p>
    <w:p w14:paraId="50CA2D46" w14:textId="77777777" w:rsidR="00314C45" w:rsidRPr="00314C45" w:rsidRDefault="00314C45" w:rsidP="00314C45">
      <w:pPr>
        <w:ind w:firstLine="708"/>
        <w:jc w:val="both"/>
        <w:rPr>
          <w:lang w:val="uk-UA"/>
        </w:rPr>
      </w:pPr>
      <w:r w:rsidRPr="00314C45">
        <w:rPr>
          <w:lang w:val="uk-UA"/>
        </w:rPr>
        <w:t>Фактична вартість електричної енергії розраховується по завершенню розрахункового періоду по формулі:</w:t>
      </w:r>
    </w:p>
    <w:p w14:paraId="7737B1FD" w14:textId="77777777" w:rsidR="00314C45" w:rsidRPr="00314C45" w:rsidRDefault="00314C45" w:rsidP="00314C45">
      <w:pPr>
        <w:jc w:val="both"/>
        <w:rPr>
          <w:lang w:val="uk-UA"/>
        </w:rPr>
      </w:pPr>
    </w:p>
    <w:p w14:paraId="2EB435C4" w14:textId="0D68BBE1" w:rsidR="00314C45" w:rsidRPr="00314C45" w:rsidRDefault="00314C45" w:rsidP="00314C45">
      <w:pPr>
        <w:jc w:val="center"/>
        <w:rPr>
          <w:b/>
          <w:bCs/>
          <w:i/>
          <w:iCs/>
          <w:lang w:val="uk-UA"/>
        </w:rPr>
      </w:pPr>
      <w:r w:rsidRPr="00314C45">
        <w:rPr>
          <w:b/>
          <w:bCs/>
          <w:i/>
          <w:iCs/>
          <w:lang w:val="uk-UA"/>
        </w:rPr>
        <w:t>Р = ∑ (</w:t>
      </w:r>
      <w:proofErr w:type="spellStart"/>
      <w:r w:rsidRPr="00314C45">
        <w:rPr>
          <w:b/>
          <w:bCs/>
          <w:i/>
          <w:iCs/>
          <w:lang w:val="uk-UA"/>
        </w:rPr>
        <w:t>Ni</w:t>
      </w:r>
      <w:proofErr w:type="spellEnd"/>
      <w:r w:rsidRPr="00314C45">
        <w:rPr>
          <w:b/>
          <w:bCs/>
          <w:i/>
          <w:iCs/>
          <w:lang w:val="uk-UA"/>
        </w:rPr>
        <w:t xml:space="preserve"> * (</w:t>
      </w:r>
      <w:proofErr w:type="spellStart"/>
      <w:r w:rsidRPr="00314C45">
        <w:rPr>
          <w:b/>
          <w:bCs/>
          <w:i/>
          <w:iCs/>
          <w:lang w:val="uk-UA"/>
        </w:rPr>
        <w:t>К</w:t>
      </w:r>
      <w:r w:rsidRPr="00314C45">
        <w:rPr>
          <w:b/>
          <w:bCs/>
          <w:i/>
          <w:iCs/>
          <w:lang w:val="uk-UA" w:eastAsia="zh-CN"/>
        </w:rPr>
        <w:t>др</w:t>
      </w:r>
      <w:proofErr w:type="spellEnd"/>
      <w:r w:rsidRPr="00314C45">
        <w:rPr>
          <w:b/>
          <w:bCs/>
          <w:i/>
          <w:iCs/>
          <w:lang w:val="uk-UA"/>
        </w:rPr>
        <w:t xml:space="preserve"> * Ц </w:t>
      </w:r>
      <w:proofErr w:type="spellStart"/>
      <w:r w:rsidRPr="00314C45">
        <w:rPr>
          <w:b/>
          <w:bCs/>
          <w:i/>
          <w:iCs/>
          <w:lang w:val="uk-UA"/>
        </w:rPr>
        <w:t>факт.рдн</w:t>
      </w:r>
      <w:proofErr w:type="spellEnd"/>
      <w:r w:rsidRPr="00314C45">
        <w:rPr>
          <w:b/>
          <w:bCs/>
          <w:i/>
          <w:iCs/>
          <w:lang w:val="uk-UA"/>
        </w:rPr>
        <w:t xml:space="preserve"> +</w:t>
      </w:r>
      <w:proofErr w:type="spellStart"/>
      <w:r w:rsidRPr="00314C45">
        <w:rPr>
          <w:b/>
          <w:bCs/>
          <w:i/>
          <w:iCs/>
          <w:lang w:val="uk-UA"/>
        </w:rPr>
        <w:t>М+Тпер</w:t>
      </w:r>
      <w:proofErr w:type="spellEnd"/>
      <w:r w:rsidRPr="00314C45">
        <w:rPr>
          <w:b/>
          <w:bCs/>
          <w:i/>
          <w:iCs/>
          <w:lang w:val="uk-UA"/>
        </w:rPr>
        <w:t>)) * 1,2 грн з ПДВ.</w:t>
      </w:r>
    </w:p>
    <w:p w14:paraId="527F679C" w14:textId="77777777" w:rsidR="00314C45" w:rsidRPr="00314C45" w:rsidRDefault="00314C45" w:rsidP="00314C45">
      <w:pPr>
        <w:jc w:val="both"/>
        <w:rPr>
          <w:lang w:val="uk-UA"/>
        </w:rPr>
      </w:pPr>
    </w:p>
    <w:p w14:paraId="0690BD69" w14:textId="3E2355E2" w:rsidR="00314C45" w:rsidRPr="00314C45" w:rsidRDefault="00314C45" w:rsidP="00314C45">
      <w:pPr>
        <w:ind w:firstLine="426"/>
        <w:jc w:val="both"/>
        <w:rPr>
          <w:lang w:val="uk-UA"/>
        </w:rPr>
      </w:pPr>
      <w:r w:rsidRPr="00314C45">
        <w:rPr>
          <w:lang w:val="uk-UA"/>
        </w:rPr>
        <w:t>де,</w:t>
      </w:r>
      <w:r w:rsidRPr="00314C45">
        <w:rPr>
          <w:lang w:val="uk-UA"/>
        </w:rPr>
        <w:t xml:space="preserve"> </w:t>
      </w:r>
      <w:proofErr w:type="spellStart"/>
      <w:r w:rsidRPr="00314C45">
        <w:rPr>
          <w:lang w:val="uk-UA"/>
        </w:rPr>
        <w:t>Ni</w:t>
      </w:r>
      <w:proofErr w:type="spellEnd"/>
      <w:r w:rsidRPr="00314C45">
        <w:rPr>
          <w:lang w:val="uk-UA"/>
        </w:rPr>
        <w:t xml:space="preserve">  – фактичний обсяг споживання електричної енергії по відповідному об’єкту Споживача, кВт*год;</w:t>
      </w:r>
    </w:p>
    <w:p w14:paraId="79BF2402" w14:textId="77777777" w:rsidR="00314C45" w:rsidRPr="00314C45" w:rsidRDefault="00314C45" w:rsidP="00314C45">
      <w:pPr>
        <w:ind w:firstLine="426"/>
        <w:jc w:val="both"/>
        <w:rPr>
          <w:lang w:val="uk-UA" w:eastAsia="zh-CN"/>
        </w:rPr>
      </w:pPr>
      <w:proofErr w:type="spellStart"/>
      <w:r w:rsidRPr="00314C45">
        <w:rPr>
          <w:lang w:val="uk-UA" w:eastAsia="zh-CN"/>
        </w:rPr>
        <w:t>Кдр</w:t>
      </w:r>
      <w:proofErr w:type="spellEnd"/>
      <w:r w:rsidRPr="00314C45">
        <w:rPr>
          <w:lang w:val="uk-UA" w:eastAsia="zh-CN"/>
        </w:rPr>
        <w:t xml:space="preserve"> – коефіцієнт, що враховує додаткові ризики учасника, визначена за тендерною пропозицією переможця за результатами торгів, включаючи витрати плату за небаланси, за операції купівлі-продажу на ринку «на добу наперед» та внутрішньодобовому ринку, крім витрат на послуги з передачі та розподілу електричної енергії. </w:t>
      </w:r>
    </w:p>
    <w:p w14:paraId="34D549C7" w14:textId="77777777" w:rsidR="00314C45" w:rsidRPr="00314C45" w:rsidRDefault="00314C45" w:rsidP="00314C45">
      <w:pPr>
        <w:ind w:firstLine="426"/>
        <w:jc w:val="both"/>
        <w:rPr>
          <w:lang w:val="uk-UA"/>
        </w:rPr>
      </w:pPr>
      <w:r w:rsidRPr="00314C45">
        <w:rPr>
          <w:lang w:val="uk-UA"/>
        </w:rPr>
        <w:t xml:space="preserve">Ц </w:t>
      </w:r>
      <w:proofErr w:type="spellStart"/>
      <w:r w:rsidRPr="00314C45">
        <w:rPr>
          <w:lang w:val="uk-UA"/>
        </w:rPr>
        <w:t>факт.рдн</w:t>
      </w:r>
      <w:proofErr w:type="spellEnd"/>
      <w:r w:rsidRPr="00314C45">
        <w:rPr>
          <w:lang w:val="uk-UA"/>
        </w:rPr>
        <w:t xml:space="preserve"> – середньозважена ціна купівлі-продажу електричної енергії за оприлюдненою інформацією сайту ДП «Оператор ринку» на офіційному веб-сайті, яка визначається на ринку «на добу наперед» (РДН) в торговій зоні ОЕС (з першого по останнє число розрахункового місяця) грн. за 1 кВт*год без ПДВ;</w:t>
      </w:r>
    </w:p>
    <w:p w14:paraId="757C243E" w14:textId="77777777" w:rsidR="00314C45" w:rsidRPr="00314C45" w:rsidRDefault="00314C45" w:rsidP="00314C45">
      <w:pPr>
        <w:ind w:firstLine="426"/>
        <w:jc w:val="both"/>
        <w:rPr>
          <w:lang w:val="uk-UA"/>
        </w:rPr>
      </w:pPr>
      <w:proofErr w:type="spellStart"/>
      <w:r w:rsidRPr="00314C45">
        <w:rPr>
          <w:lang w:val="uk-UA"/>
        </w:rPr>
        <w:lastRenderedPageBreak/>
        <w:t>Тпер</w:t>
      </w:r>
      <w:proofErr w:type="spellEnd"/>
      <w:r w:rsidRPr="00314C45">
        <w:rPr>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грн. за 1 кВт*год без ПДВ.</w:t>
      </w:r>
    </w:p>
    <w:p w14:paraId="36874D45" w14:textId="77777777" w:rsidR="00314C45" w:rsidRPr="00314C45" w:rsidRDefault="00314C45" w:rsidP="00314C45">
      <w:pPr>
        <w:ind w:firstLine="426"/>
        <w:jc w:val="both"/>
        <w:rPr>
          <w:b/>
          <w:u w:val="single"/>
          <w:lang w:val="uk-UA"/>
        </w:rPr>
      </w:pPr>
      <w:r w:rsidRPr="00314C45">
        <w:rPr>
          <w:lang w:val="uk-UA"/>
        </w:rPr>
        <w:t xml:space="preserve">М – </w:t>
      </w:r>
      <w:r w:rsidRPr="00314C45">
        <w:rPr>
          <w:bCs/>
          <w:u w:val="single"/>
          <w:lang w:val="uk-UA"/>
        </w:rPr>
        <w:t>маржа (вартість послуг постачальника), визначена за тендерною пропозицією переможця за результатами торгів.</w:t>
      </w:r>
    </w:p>
    <w:p w14:paraId="7FAC1585" w14:textId="77777777" w:rsidR="00314C45" w:rsidRPr="00314C45" w:rsidRDefault="00314C45" w:rsidP="00314C45">
      <w:pPr>
        <w:ind w:firstLine="426"/>
        <w:jc w:val="both"/>
        <w:rPr>
          <w:b/>
          <w:i/>
          <w:iCs/>
          <w:u w:val="single"/>
          <w:lang w:val="uk-UA"/>
        </w:rPr>
      </w:pPr>
      <w:r w:rsidRPr="00314C45">
        <w:rPr>
          <w:b/>
          <w:i/>
          <w:iCs/>
          <w:u w:val="single"/>
          <w:lang w:val="uk-UA"/>
        </w:rPr>
        <w:t>Маржа не може бути величиною від’ємною,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w:t>
      </w:r>
    </w:p>
    <w:p w14:paraId="49CD48A0" w14:textId="77777777" w:rsidR="00314C45" w:rsidRPr="00314C45" w:rsidRDefault="00314C45" w:rsidP="00314C45">
      <w:pPr>
        <w:ind w:firstLine="426"/>
        <w:jc w:val="both"/>
        <w:rPr>
          <w:lang w:val="uk-UA"/>
        </w:rPr>
      </w:pPr>
    </w:p>
    <w:p w14:paraId="503939EB" w14:textId="2ACE5CDD" w:rsidR="00314C45" w:rsidRPr="00314C45" w:rsidRDefault="00314C45" w:rsidP="00314C45">
      <w:pPr>
        <w:ind w:firstLine="426"/>
        <w:jc w:val="both"/>
        <w:rPr>
          <w:lang w:val="uk-UA"/>
        </w:rPr>
      </w:pPr>
      <w:r w:rsidRPr="00314C45">
        <w:rPr>
          <w:lang w:val="uk-UA"/>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314C45">
        <w:rPr>
          <w:lang w:val="uk-UA"/>
        </w:rPr>
        <w:t>Цфакт</w:t>
      </w:r>
      <w:proofErr w:type="spellEnd"/>
      <w:r w:rsidRPr="00314C45">
        <w:rPr>
          <w:lang w:val="uk-UA"/>
        </w:rPr>
        <w:t>:</w:t>
      </w:r>
    </w:p>
    <w:p w14:paraId="3E6FD5B8" w14:textId="77777777" w:rsidR="00314C45" w:rsidRPr="00314C45" w:rsidRDefault="00314C45" w:rsidP="00314C45">
      <w:pPr>
        <w:ind w:firstLine="426"/>
        <w:jc w:val="both"/>
        <w:rPr>
          <w:lang w:val="uk-UA"/>
        </w:rPr>
      </w:pPr>
      <w:r w:rsidRPr="00314C45">
        <w:rPr>
          <w:lang w:val="uk-UA"/>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6366DC84" w14:textId="77777777" w:rsidR="00314C45" w:rsidRPr="00314C45" w:rsidRDefault="00314C45" w:rsidP="00314C45">
      <w:pPr>
        <w:ind w:firstLine="426"/>
        <w:jc w:val="both"/>
        <w:rPr>
          <w:lang w:val="uk-UA"/>
        </w:rPr>
      </w:pPr>
      <w:r w:rsidRPr="00314C45">
        <w:rPr>
          <w:lang w:val="uk-UA"/>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7C26AAA3" w14:textId="77777777" w:rsidR="00314C45" w:rsidRPr="00314C45" w:rsidRDefault="00314C45" w:rsidP="00314C45">
      <w:pPr>
        <w:shd w:val="clear" w:color="auto" w:fill="FFFFFF"/>
        <w:ind w:firstLine="426"/>
        <w:jc w:val="both"/>
        <w:rPr>
          <w:lang w:val="uk-UA"/>
        </w:rPr>
      </w:pPr>
      <w:r w:rsidRPr="00314C45">
        <w:rPr>
          <w:lang w:val="uk-UA"/>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w:t>
      </w:r>
      <w:r w:rsidRPr="00314C45">
        <w:t> </w:t>
      </w:r>
      <w:r w:rsidRPr="00314C45">
        <w:rPr>
          <w:lang w:val="uk-UA"/>
        </w:rPr>
        <w:t xml:space="preserve"> та тарифу на послуги з передачі електричної енергії затвердженого НКРЕКП на відповідний розрахунковий період.</w:t>
      </w:r>
    </w:p>
    <w:p w14:paraId="726D24A0" w14:textId="77777777" w:rsidR="00314C45" w:rsidRPr="00314C45" w:rsidRDefault="00314C45" w:rsidP="00314C45">
      <w:pPr>
        <w:rPr>
          <w:lang w:val="uk-UA"/>
        </w:rPr>
      </w:pPr>
    </w:p>
    <w:p w14:paraId="78196B7F" w14:textId="77777777" w:rsidR="000D5CBD" w:rsidRPr="00314C45" w:rsidRDefault="000D5CBD">
      <w:pPr>
        <w:rPr>
          <w:lang w:val="uk-UA"/>
        </w:rPr>
      </w:pPr>
    </w:p>
    <w:sectPr w:rsidR="000D5CBD" w:rsidRPr="00314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7"/>
    <w:rsid w:val="000D5CBD"/>
    <w:rsid w:val="00314C45"/>
    <w:rsid w:val="003D18A7"/>
    <w:rsid w:val="009439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003D"/>
  <w15:chartTrackingRefBased/>
  <w15:docId w15:val="{D55DFFF6-B695-42C6-B0EB-D450E78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C4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3106</Words>
  <Characters>1771</Characters>
  <Application>Microsoft Office Word</Application>
  <DocSecurity>0</DocSecurity>
  <Lines>14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dc:creator>
  <cp:keywords/>
  <dc:description/>
  <cp:lastModifiedBy>Maryna</cp:lastModifiedBy>
  <cp:revision>2</cp:revision>
  <dcterms:created xsi:type="dcterms:W3CDTF">2023-12-18T07:38:00Z</dcterms:created>
  <dcterms:modified xsi:type="dcterms:W3CDTF">2023-12-18T07:43:00Z</dcterms:modified>
</cp:coreProperties>
</file>