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8F1" w:rsidRPr="00EA3D53" w:rsidRDefault="009A3231" w:rsidP="00F7688D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 w:rsidRPr="00EA3D53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ДОДАТОК 1</w:t>
      </w:r>
    </w:p>
    <w:p w:rsidR="001B08F1" w:rsidRPr="00EA3D53" w:rsidRDefault="009A32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до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тендерної</w:t>
      </w:r>
      <w:proofErr w:type="spellEnd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proofErr w:type="spellStart"/>
      <w:r w:rsidRPr="00EA3D53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документації</w:t>
      </w:r>
      <w:proofErr w:type="spellEnd"/>
    </w:p>
    <w:p w:rsidR="001B0552" w:rsidRDefault="001B055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1B0552" w:rsidRPr="001B0552" w:rsidRDefault="001B0552" w:rsidP="001B0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вимагаються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B0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1B0552" w:rsidRPr="001B0552" w:rsidRDefault="001B0552" w:rsidP="001B0552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5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сканованому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оригіналів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PDF)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B0552">
        <w:rPr>
          <w:rFonts w:ascii="Times New Roman" w:hAnsi="Times New Roman" w:cs="Times New Roman"/>
          <w:sz w:val="24"/>
          <w:szCs w:val="24"/>
        </w:rPr>
        <w:t>:</w:t>
      </w:r>
    </w:p>
    <w:p w:rsidR="001B08F1" w:rsidRDefault="009A3231" w:rsidP="00EF54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="005823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="005823C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</w:t>
      </w:r>
      <w:r w:rsidR="00DE5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України 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»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6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2693"/>
        <w:gridCol w:w="5518"/>
      </w:tblGrid>
      <w:tr w:rsidR="00635560" w:rsidRPr="005A4993" w:rsidTr="00EE2D2C">
        <w:trPr>
          <w:trHeight w:val="92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823C1" w:rsidRDefault="00635560" w:rsidP="00EE2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823C1" w:rsidRDefault="00635560" w:rsidP="00EE2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823C1" w:rsidRDefault="00635560" w:rsidP="00EE2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підтверджують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кваліфікаційним</w:t>
            </w:r>
            <w:proofErr w:type="spellEnd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3C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критеріям</w:t>
            </w:r>
            <w:proofErr w:type="spellEnd"/>
          </w:p>
        </w:tc>
      </w:tr>
      <w:tr w:rsidR="00635560" w:rsidRPr="0080324E" w:rsidTr="00EE2D2C">
        <w:trPr>
          <w:trHeight w:val="44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560" w:rsidRPr="00F66EB9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підтвердження наявності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часника процедури закупівлі обладнання, матеріально-технічної бази та технологій Учасник має надати:</w:t>
            </w:r>
          </w:p>
          <w:p w:rsidR="00635560" w:rsidRPr="00F66EB9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 </w:t>
            </w: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Довідка в довільній формі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наявність обладнання, матеріально-технічної бази та технологій, необхідних для надання послуг, визначених у технічних вимогах.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/>
              </w:rPr>
              <w:t xml:space="preserve">Яка включає в себе: 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виробничі споруди - надати підтвердження наявності/власності станції технічного обслуговування  (право власності, договір оренди, інше);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1-ї оглядової ями; 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двостійкових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електрогідравлічних автопідйомників 4,0т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засоби техніч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ного обслуговування та ремонту;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0A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стенд ультразвукової промивки форсунок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професійний та спеціалізований інструмент для ремонту та обслуговування транспортних засобів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Замовника;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комп’ютерний стенд для аналізу </w:t>
            </w:r>
            <w:proofErr w:type="spellStart"/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несправностей</w:t>
            </w:r>
            <w:proofErr w:type="spellEnd"/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двигуна;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стенд розвал-сходження;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обладнання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перевірки паливної системи;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 перевірки та ремонту турбіни;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обладнання для проведення зварювальних робіт;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гідравлічний прес,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маслозмінна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установка;</w:t>
            </w:r>
          </w:p>
          <w:p w:rsidR="00635560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установка з обслуговування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автокондиціонерів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35560" w:rsidRDefault="00635560" w:rsidP="00EE2D2C">
            <w:pPr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val="uk-UA"/>
              </w:rPr>
              <w:t xml:space="preserve"> </w:t>
            </w:r>
            <w:r w:rsidRPr="00F6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обладнання для діагностики і ремонту електрообладнання автомобілів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35560" w:rsidRPr="00F66EB9" w:rsidRDefault="00635560" w:rsidP="00EE2D2C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потужності інших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F66E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суб’єктів господарювання як субпідрядників/співвиконавців</w:t>
            </w:r>
          </w:p>
        </w:tc>
      </w:tr>
      <w:tr w:rsidR="00635560" w:rsidRPr="005A4993" w:rsidTr="00EE2D2C">
        <w:trPr>
          <w:trHeight w:val="2255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3C7499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12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5560" w:rsidRPr="005A4993" w:rsidRDefault="00635560" w:rsidP="00EE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5560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1. Д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овідку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довільній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договору).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вважається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договір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 предметом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закупівлі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урахуванням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коду за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Єдиним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закупівельним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словником ДК 021:2015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/ю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/а на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договору,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635560" w:rsidRPr="00DE3B57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5560" w:rsidRPr="005A4993" w:rsidRDefault="00635560" w:rsidP="00EE2D2C">
            <w:pPr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лист-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контрагента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аналогічним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договором,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E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договору. </w:t>
            </w:r>
          </w:p>
        </w:tc>
      </w:tr>
    </w:tbl>
    <w:p w:rsidR="001B08F1" w:rsidRPr="005A4993" w:rsidRDefault="009A323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5A49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3B57" w:rsidRDefault="00DE3B5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8F1" w:rsidRPr="005A4993" w:rsidRDefault="009A3231" w:rsidP="00DE3B57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A5778"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об’єднання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як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) 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пункті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 xml:space="preserve"> 47 </w:t>
      </w:r>
      <w:proofErr w:type="spellStart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 w:rsidRPr="00DE3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08F1" w:rsidRPr="00BA1EC3" w:rsidRDefault="009A3231" w:rsidP="00BA1EC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вимагає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будь-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документів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учасником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="00AA5778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абзаца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шістнадцятого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</w:t>
      </w:r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ачених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пункті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47 </w:t>
      </w:r>
      <w:proofErr w:type="spellStart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Особливостей</w:t>
      </w:r>
      <w:proofErr w:type="spellEnd"/>
      <w:r w:rsidR="00BA1EC3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підпунктів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7, абзацу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чотирнадцятого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пункту),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декларування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таких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час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подання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B08F1" w:rsidRPr="00BA1EC3" w:rsidRDefault="009A32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самостійно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результатами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розгляду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підтверджує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учасника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підпунктами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 і 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пункту.</w:t>
      </w:r>
    </w:p>
    <w:p w:rsidR="001B08F1" w:rsidRDefault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повинен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довідку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довільній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встановленої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14 пункту </w:t>
      </w:r>
      <w:r w:rsidR="009A3231" w:rsidRPr="00BA1EC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перебуває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обставинах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вжиття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надійності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незважаючи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підстави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відкритих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торгах. Для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суб’єкт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) повинен довести,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зобов’язався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завданих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достатнім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учаснику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відмовлено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процедурі</w:t>
      </w:r>
      <w:proofErr w:type="spellEnd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="009A3231" w:rsidRPr="005A49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7C03" w:rsidRDefault="002C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технічна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47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, то факт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самостійним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декларуванням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C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відмови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в торгах за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2C7C0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2C7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D0" w:rsidRPr="005A4993" w:rsidRDefault="00EF5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Default="00EF54D0" w:rsidP="00EF54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EF54D0" w:rsidRPr="005A4993" w:rsidRDefault="00EF54D0" w:rsidP="00EF5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8"/>
        <w:gridCol w:w="9473"/>
      </w:tblGrid>
      <w:tr w:rsidR="00607B04" w:rsidRPr="005A4993" w:rsidTr="00C12466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04" w:rsidRPr="005A4993" w:rsidRDefault="00607B04" w:rsidP="00C1246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07B04" w:rsidRPr="005A4993" w:rsidTr="002C7C03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607B04" w:rsidRPr="005A4993" w:rsidTr="002C7C03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607B04" w:rsidRPr="00F7688D" w:rsidTr="002C7C03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5A4993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 батькові засновника та/або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власника, адреса його місця проживання та громадянство.</w:t>
            </w:r>
          </w:p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Зазначена довідка надається 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лише учасниками юридичними особами</w:t>
            </w:r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та лише в період, коли Єдиний державний реєстр юридичних осіб, фізичних осіб - підприємців та громадських формувань не функціонує. Інформація про кінцевого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власника зазначається в довідці лише учасниками - юридичними особами, які повинні мати таку інформацію в Єдиному державному реєстрі юридичних осіб, фізичних осіб - підприємців та громадських формувань відповідно до пункту 9 частини 2 статті 9 Закону України «Про державну реєстрацію юридичних осіб, фізичних осіб - підприємців та громадських формувань».</w:t>
            </w:r>
          </w:p>
          <w:p w:rsidR="00607B04" w:rsidRPr="00802A4A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607B04" w:rsidRPr="00802A4A" w:rsidRDefault="00607B04" w:rsidP="00C12466">
            <w:pPr>
              <w:numPr>
                <w:ilvl w:val="0"/>
                <w:numId w:val="10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1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біженця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притулку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1"/>
              </w:num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7B04" w:rsidRPr="00802A4A" w:rsidRDefault="00607B04" w:rsidP="00C12466">
            <w:pPr>
              <w:shd w:val="clear" w:color="auto" w:fill="FFFFFF"/>
              <w:spacing w:after="0" w:line="240" w:lineRule="auto"/>
              <w:ind w:left="283" w:firstLine="2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</w:p>
          <w:p w:rsidR="00607B04" w:rsidRPr="00802A4A" w:rsidRDefault="00607B04" w:rsidP="00C12466">
            <w:pPr>
              <w:numPr>
                <w:ilvl w:val="0"/>
                <w:numId w:val="8"/>
              </w:numPr>
              <w:spacing w:after="0" w:line="240" w:lineRule="auto"/>
              <w:ind w:left="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зареєстроване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задеклароване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особи разом з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посвідкою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постійне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візою</w:t>
            </w:r>
            <w:proofErr w:type="spellEnd"/>
            <w:r w:rsidRPr="00802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B04" w:rsidRPr="005A4993" w:rsidTr="002C7C03">
        <w:trPr>
          <w:trHeight w:val="166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підписом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особи), яка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відомості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поштова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фактична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код ЄДРПОУ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підприємства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ІПН - ФОП);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банку, в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відкритий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МФО);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тел./факс;</w:t>
            </w:r>
          </w:p>
          <w:p w:rsidR="00607B04" w:rsidRPr="00F7688D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е-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7B04" w:rsidRPr="0092026B" w:rsidRDefault="00607B04" w:rsidP="00C12466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посада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П.І.Б. (для ФОП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П.І.Б) та на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діє</w:t>
            </w:r>
            <w:proofErr w:type="spellEnd"/>
            <w:r w:rsidRPr="00F76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04" w:rsidRPr="00B413BA" w:rsidTr="002C7C03">
        <w:trPr>
          <w:trHeight w:val="166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913131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131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Ідентифікаційний код учасника в Єдиному державному реєстрі юридичних осіб, фізичних осіб-підприємців та громадських формувань (</w:t>
            </w:r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для юридичних осіб</w:t>
            </w:r>
            <w:r w:rsidRPr="009131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</w:t>
            </w:r>
          </w:p>
        </w:tc>
      </w:tr>
      <w:tr w:rsidR="00607B04" w:rsidRPr="005A4993" w:rsidTr="002C7C03">
        <w:trPr>
          <w:trHeight w:val="28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присвоєння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коду та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пастпорт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фізичних</w:t>
            </w:r>
            <w:proofErr w:type="spellEnd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A2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осіб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07B04" w:rsidRPr="005A4993" w:rsidTr="002C7C03">
        <w:trPr>
          <w:trHeight w:val="203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 (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7B04" w:rsidRPr="005A4993" w:rsidTr="002C7C03">
        <w:trPr>
          <w:trHeight w:val="14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DD6BDB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про статус платника податку (Свідоцтво, витяг тощо).</w:t>
            </w:r>
          </w:p>
        </w:tc>
      </w:tr>
      <w:tr w:rsidR="00607B04" w:rsidRPr="005A4993" w:rsidTr="002C7C03">
        <w:trPr>
          <w:trHeight w:val="6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Default="00607B04" w:rsidP="00C12466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7B04" w:rsidRPr="00874CCC" w:rsidRDefault="00607B04" w:rsidP="00C12466">
            <w:pPr>
              <w:spacing w:after="0" w:line="0" w:lineRule="atLeast"/>
              <w:ind w:firstLine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Цінова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4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DE3A2D" w:rsidRDefault="00DE3A2D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2C7C03" w:rsidRPr="00915282" w:rsidRDefault="002C7C03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EF54D0" w:rsidRPr="002C7C03" w:rsidRDefault="00EF54D0" w:rsidP="00EF5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8F1" w:rsidRPr="00BA1EC3" w:rsidRDefault="00EF54D0" w:rsidP="00BA1E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Перелік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документів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інформації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 для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підтвердження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відповідності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>Переможця</w:t>
      </w:r>
      <w:proofErr w:type="spellEnd"/>
      <w:r w:rsidR="00BA1EC3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>визначеним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</w:rPr>
        <w:t>пун</w:t>
      </w:r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кті</w:t>
      </w:r>
      <w:proofErr w:type="spellEnd"/>
      <w:r w:rsidR="009A3231" w:rsidRPr="00F7688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47</w:t>
      </w:r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Особливостей</w:t>
      </w:r>
      <w:proofErr w:type="spellEnd"/>
      <w:r w:rsidR="009A3231" w:rsidRPr="00BA1EC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1B08F1" w:rsidRPr="00BA1EC3" w:rsidRDefault="009A3231" w:rsidP="00BA1E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Переможець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строк,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перевищує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чотири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>дні</w:t>
      </w:r>
      <w:proofErr w:type="spellEnd"/>
      <w:r w:rsidRPr="00BA1E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підпунктах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3, 5, 6 і 12 та в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абзаці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чотирнадцятому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пункту 47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08F1" w:rsidRPr="00BA1EC3" w:rsidRDefault="009A32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1EC3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BA1EC3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:rsidR="001B08F1" w:rsidRPr="005A4993" w:rsidRDefault="001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B08F1" w:rsidRDefault="009A32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5A499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="00BA1EC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EF54D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/>
        </w:rPr>
        <w:t>4</w:t>
      </w:r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.1.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Документи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які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надаються</w:t>
      </w:r>
      <w:proofErr w:type="spellEnd"/>
      <w:r w:rsidR="00BA1EC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  <w:proofErr w:type="spellStart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Переможцем</w:t>
      </w:r>
      <w:proofErr w:type="spellEnd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(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юридичною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особою):</w:t>
      </w:r>
    </w:p>
    <w:p w:rsidR="00BA1EC3" w:rsidRPr="005A4993" w:rsidRDefault="00BA1E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tbl>
      <w:tblPr>
        <w:tblStyle w:val="40"/>
        <w:tblW w:w="5000" w:type="pct"/>
        <w:tblInd w:w="0" w:type="dxa"/>
        <w:tblLook w:val="0400" w:firstRow="0" w:lastRow="0" w:firstColumn="0" w:lastColumn="0" w:noHBand="0" w:noVBand="1"/>
      </w:tblPr>
      <w:tblGrid>
        <w:gridCol w:w="669"/>
        <w:gridCol w:w="4329"/>
        <w:gridCol w:w="4903"/>
      </w:tblGrid>
      <w:tr w:rsidR="001B08F1" w:rsidRPr="005A4993" w:rsidTr="00654957">
        <w:trPr>
          <w:trHeight w:val="1072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1B08F1" w:rsidRPr="005A499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DD6B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BA1EC3" w:rsidRDefault="009A3231" w:rsidP="006134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п.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</w:p>
        </w:tc>
      </w:tr>
      <w:tr w:rsidR="001B08F1" w:rsidRPr="00B413BA" w:rsidTr="008938DA">
        <w:trPr>
          <w:trHeight w:val="1443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</w:t>
            </w:r>
            <w:r w:rsid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B08F1" w:rsidRPr="00BA1EC3" w:rsidRDefault="009A3231" w:rsidP="008938D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</w:t>
            </w:r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val="uk-UA"/>
              </w:rPr>
              <w:t>*</w:t>
            </w:r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</w:t>
            </w:r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,</w:t>
            </w:r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 xml:space="preserve"> </w:t>
            </w:r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згідно з якою не буде знайдено інформації про корупційні або пов'язані з корупцією правопорушення керівника учасника процедури закупівлі. </w:t>
            </w:r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Довідка надається в період відсутності функціональної можливості перевірки </w:t>
            </w:r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lastRenderedPageBreak/>
              <w:t xml:space="preserve">інформації на </w:t>
            </w:r>
            <w:proofErr w:type="spellStart"/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вебресурсі</w:t>
            </w:r>
            <w:proofErr w:type="spellEnd"/>
            <w:r w:rsidR="009A3231" w:rsidRPr="00EF54D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2C7C03" w:rsidRPr="00EF54D0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1B08F1" w:rsidRPr="005A4993" w:rsidTr="008938DA">
        <w:trPr>
          <w:trHeight w:val="167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B08F1" w:rsidRPr="005A4993" w:rsidRDefault="00BA1EC3" w:rsidP="008938DA">
            <w:pPr>
              <w:spacing w:after="0" w:line="240" w:lineRule="auto"/>
              <w:ind w:left="179" w:right="140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(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 пункт 47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  <w:tr w:rsidR="001B08F1" w:rsidRPr="005A4993" w:rsidTr="008938DA">
        <w:trPr>
          <w:trHeight w:val="2574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1B08F1" w:rsidRPr="005A4993" w:rsidRDefault="009A3231" w:rsidP="008938DA">
            <w:pPr>
              <w:spacing w:after="0" w:line="240" w:lineRule="auto"/>
              <w:ind w:left="37" w:hanging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1B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8F1" w:rsidRPr="005A4993" w:rsidTr="008938DA">
        <w:trPr>
          <w:trHeight w:val="5309"/>
        </w:trPr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BA1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</w:tr>
    </w:tbl>
    <w:p w:rsidR="001B08F1" w:rsidRPr="005A4993" w:rsidRDefault="001B08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08F1" w:rsidRDefault="00EF54D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.2.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A1EC3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Переможцем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="009A3231"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="009A3231"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BA1EC3" w:rsidRDefault="00BA1E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0"/>
        <w:tblW w:w="5000" w:type="pct"/>
        <w:tblInd w:w="0" w:type="dxa"/>
        <w:tblLook w:val="0400" w:firstRow="0" w:lastRow="0" w:firstColumn="0" w:lastColumn="0" w:noHBand="0" w:noVBand="1"/>
      </w:tblPr>
      <w:tblGrid>
        <w:gridCol w:w="677"/>
        <w:gridCol w:w="4378"/>
        <w:gridCol w:w="4846"/>
      </w:tblGrid>
      <w:tr w:rsidR="001B08F1" w:rsidRPr="005A4993" w:rsidTr="00654957">
        <w:trPr>
          <w:trHeight w:val="825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B08F1" w:rsidRPr="005A499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BA1EC3" w:rsidRDefault="009A3231" w:rsidP="00DD6B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</w:p>
          <w:p w:rsidR="001B08F1" w:rsidRPr="005A4993" w:rsidRDefault="001B08F1" w:rsidP="00DD6BD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BA1EC3" w:rsidRDefault="009A323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Переможець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згідно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пункту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</w:t>
            </w: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відсутності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підстав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повинен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таку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B08F1" w:rsidRPr="00B413BA" w:rsidTr="008938DA">
        <w:trPr>
          <w:trHeight w:val="451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корупційного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1B08F1" w:rsidRPr="005A4993" w:rsidRDefault="009A3231" w:rsidP="0089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3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Default="002C7C03" w:rsidP="00BA1EC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Єдиного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державного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реєстру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осіб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вчинили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пов’язані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корупцією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правопорушення</w:t>
            </w:r>
            <w:proofErr w:type="spellEnd"/>
            <w:r w:rsidR="009A3231"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знайдено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є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функціональної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вебресурсі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вчинили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правопорушення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не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</w:t>
            </w:r>
            <w:proofErr w:type="spellEnd"/>
            <w:r w:rsidR="009A3231" w:rsidRPr="00BA1E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документи, що підтверджують відсутність підстав, зазначених у підпунктах 3, 5, 6 і 12 та в абзаці чотирнадцятому цього пункту.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закупівель</w:t>
            </w:r>
            <w:proofErr w:type="spellEnd"/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</w:t>
            </w:r>
          </w:p>
          <w:p w:rsidR="002C7C03" w:rsidRPr="002C7C03" w:rsidRDefault="002C7C03" w:rsidP="002C7C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-UA"/>
              </w:rPr>
              <w:t>Таким чином</w:t>
            </w:r>
            <w:r w:rsidRPr="002C7C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закупівлі, надається переможцем.</w:t>
            </w:r>
          </w:p>
        </w:tc>
      </w:tr>
      <w:tr w:rsidR="001B08F1" w:rsidRPr="005A4993" w:rsidTr="008938DA">
        <w:trPr>
          <w:trHeight w:val="2550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EC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мотивів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зокрема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коштів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знято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погашено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установленому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порядку.</w:t>
            </w:r>
          </w:p>
          <w:p w:rsidR="001B08F1" w:rsidRPr="00BA1EC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5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BA1EC3" w:rsidRDefault="009A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судимості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обмежень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фізичної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B08F1" w:rsidRPr="005A4993" w:rsidTr="008938DA">
        <w:trPr>
          <w:trHeight w:val="2578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особу, яка 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згідно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вчинення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дитячої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якими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торгівлі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людьми.</w:t>
            </w:r>
          </w:p>
          <w:p w:rsidR="001B08F1" w:rsidRPr="005A4993" w:rsidRDefault="009A3231" w:rsidP="0089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підпункт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12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1B0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8F1" w:rsidRPr="005A4993" w:rsidTr="008938DA">
        <w:trPr>
          <w:trHeight w:val="5504"/>
        </w:trPr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08F1" w:rsidRPr="005A4993" w:rsidRDefault="009A3231" w:rsidP="00EF54D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самим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застосовано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трьох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договору.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перебуває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обставинах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</w:t>
            </w:r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торгах.</w:t>
            </w:r>
          </w:p>
          <w:p w:rsidR="001B08F1" w:rsidRPr="005A4993" w:rsidRDefault="009A3231" w:rsidP="00893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(абзац 14 пункт 47 </w:t>
            </w:r>
            <w:proofErr w:type="spellStart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Особливостей</w:t>
            </w:r>
            <w:proofErr w:type="spellEnd"/>
            <w:r w:rsidRPr="00BA1EC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8F1" w:rsidRPr="005A4993" w:rsidRDefault="009A3231" w:rsidP="00EF5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довільній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укладеним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договором про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призвели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дострокового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розірвання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до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санкції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надійності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незважаючи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 (для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повинен довести,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зобов’язався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відшкодування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завданих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збитків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8F1" w:rsidRPr="005A4993" w:rsidRDefault="001B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121" w:rsidRDefault="00756121" w:rsidP="007561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Переможця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5A4993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5A49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756121" w:rsidRPr="005A4993" w:rsidRDefault="00756121" w:rsidP="00756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000" w:type="pct"/>
        <w:tblInd w:w="0" w:type="dxa"/>
        <w:tblLook w:val="0400" w:firstRow="0" w:lastRow="0" w:firstColumn="0" w:lastColumn="0" w:noHBand="0" w:noVBand="1"/>
      </w:tblPr>
      <w:tblGrid>
        <w:gridCol w:w="428"/>
        <w:gridCol w:w="9473"/>
      </w:tblGrid>
      <w:tr w:rsidR="00756121" w:rsidRPr="005A4993" w:rsidTr="00841D94">
        <w:trPr>
          <w:trHeight w:val="124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121" w:rsidRPr="005A4993" w:rsidRDefault="00756121" w:rsidP="007561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Переможця</w:t>
            </w: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56121" w:rsidRPr="005A4993" w:rsidTr="00E7128C">
        <w:trPr>
          <w:trHeight w:val="807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121" w:rsidRPr="00756121" w:rsidRDefault="00756121" w:rsidP="00841D94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6121" w:rsidRPr="00756121" w:rsidRDefault="00756121" w:rsidP="00756121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Оновлена цінова пропозиція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переможця закупівлі за результатами електронного аукціону.</w:t>
            </w:r>
          </w:p>
        </w:tc>
      </w:tr>
      <w:tr w:rsidR="00027D91" w:rsidRPr="005A4993" w:rsidTr="008938DA">
        <w:trPr>
          <w:trHeight w:val="591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5A4993" w:rsidRDefault="00027D91" w:rsidP="00027D91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756121" w:rsidRDefault="00027D91" w:rsidP="00027D91">
            <w:pPr>
              <w:spacing w:after="0" w:line="240" w:lineRule="auto"/>
              <w:ind w:left="10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закупівлю</w:t>
            </w:r>
            <w:proofErr w:type="spellEnd"/>
            <w:r w:rsidRPr="005A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випадку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ненадання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переможцем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переможець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таким,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відмовився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підписання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вимог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тендерної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укладення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закупівлю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підлягає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відхиленню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підставі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підпункту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3 пункту 44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27D91" w:rsidRPr="005A4993" w:rsidTr="00E7128C">
        <w:trPr>
          <w:trHeight w:val="580"/>
        </w:trPr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5A4993" w:rsidRDefault="00027D91" w:rsidP="00027D91">
            <w:pPr>
              <w:spacing w:after="0" w:line="240" w:lineRule="auto"/>
              <w:ind w:left="100" w:hanging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7D91" w:rsidRPr="00756121" w:rsidRDefault="00027D91" w:rsidP="00027D91">
            <w:pPr>
              <w:spacing w:after="0" w:line="240" w:lineRule="auto"/>
              <w:ind w:left="100" w:right="120"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остовірна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чинної</w:t>
            </w:r>
            <w:proofErr w:type="spellEnd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2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75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</w:t>
            </w:r>
          </w:p>
        </w:tc>
      </w:tr>
    </w:tbl>
    <w:p w:rsidR="00756121" w:rsidRPr="00874CCC" w:rsidRDefault="00756121" w:rsidP="0075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7C03" w:rsidRPr="00915282" w:rsidRDefault="00AC182A" w:rsidP="002C7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*</w:t>
      </w:r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якщо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переможець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 повинен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чинного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(в тому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тендерної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пропозиції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учасником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/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переможцем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-нерезидентом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відповідно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норм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законодавства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країни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реєстрації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не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зобов’язаний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якийсь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вказаних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положеннях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документації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документ,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накладати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електронний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підпис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то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він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лист-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роз’яснення</w:t>
      </w:r>
      <w:proofErr w:type="spellEnd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в 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довільній</w:t>
      </w:r>
      <w:proofErr w:type="spellEnd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формі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якому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зазначає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законодавчі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підстави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ненадання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документів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ненакладення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електронного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підпису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або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надає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копію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/ї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роз'яснення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нь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державних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цього</w:t>
      </w:r>
      <w:proofErr w:type="spellEnd"/>
      <w:r w:rsidR="002C7C03" w:rsidRPr="0091528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C7C03" w:rsidRPr="005A4993" w:rsidRDefault="002C7C03" w:rsidP="002C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54D0" w:rsidRPr="00AC182A" w:rsidRDefault="00EF54D0" w:rsidP="002C7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54D0" w:rsidRPr="00AC182A" w:rsidSect="00DD6BDB"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423A1"/>
    <w:multiLevelType w:val="multilevel"/>
    <w:tmpl w:val="2E26AD2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D30032"/>
    <w:multiLevelType w:val="multilevel"/>
    <w:tmpl w:val="70AAB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5404A9"/>
    <w:multiLevelType w:val="multilevel"/>
    <w:tmpl w:val="EAEE3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1071A5"/>
    <w:multiLevelType w:val="multilevel"/>
    <w:tmpl w:val="287451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8159E8"/>
    <w:multiLevelType w:val="multilevel"/>
    <w:tmpl w:val="CFB28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87380F"/>
    <w:multiLevelType w:val="multilevel"/>
    <w:tmpl w:val="B55E59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B3E0802"/>
    <w:multiLevelType w:val="multilevel"/>
    <w:tmpl w:val="CDE45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370457B"/>
    <w:multiLevelType w:val="multilevel"/>
    <w:tmpl w:val="9DE616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7E059B"/>
    <w:multiLevelType w:val="multilevel"/>
    <w:tmpl w:val="8D162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82D7DF7"/>
    <w:multiLevelType w:val="multilevel"/>
    <w:tmpl w:val="9BC8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E64CD5"/>
    <w:multiLevelType w:val="multilevel"/>
    <w:tmpl w:val="73AE5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4363262"/>
    <w:multiLevelType w:val="multilevel"/>
    <w:tmpl w:val="2E9C5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6E76BEE"/>
    <w:multiLevelType w:val="multilevel"/>
    <w:tmpl w:val="A9ACC6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95067D3"/>
    <w:multiLevelType w:val="multilevel"/>
    <w:tmpl w:val="CDD0425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DA769B7"/>
    <w:multiLevelType w:val="multilevel"/>
    <w:tmpl w:val="9D6A5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C3207A"/>
    <w:multiLevelType w:val="multilevel"/>
    <w:tmpl w:val="3016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F1"/>
    <w:rsid w:val="00027D91"/>
    <w:rsid w:val="00056FCC"/>
    <w:rsid w:val="00112E8B"/>
    <w:rsid w:val="00120F27"/>
    <w:rsid w:val="001816CB"/>
    <w:rsid w:val="001B0552"/>
    <w:rsid w:val="001B08F1"/>
    <w:rsid w:val="002308C1"/>
    <w:rsid w:val="002C7C03"/>
    <w:rsid w:val="0036271F"/>
    <w:rsid w:val="005823C1"/>
    <w:rsid w:val="005A4993"/>
    <w:rsid w:val="00607B04"/>
    <w:rsid w:val="00613413"/>
    <w:rsid w:val="00635560"/>
    <w:rsid w:val="00654957"/>
    <w:rsid w:val="00756121"/>
    <w:rsid w:val="00874CCC"/>
    <w:rsid w:val="008938DA"/>
    <w:rsid w:val="008D0680"/>
    <w:rsid w:val="00913131"/>
    <w:rsid w:val="0092026B"/>
    <w:rsid w:val="009A3231"/>
    <w:rsid w:val="00AA5778"/>
    <w:rsid w:val="00AC182A"/>
    <w:rsid w:val="00B413BA"/>
    <w:rsid w:val="00B80BE3"/>
    <w:rsid w:val="00BA1EC3"/>
    <w:rsid w:val="00D42EB3"/>
    <w:rsid w:val="00DD6BDB"/>
    <w:rsid w:val="00DE3A2D"/>
    <w:rsid w:val="00DE3B57"/>
    <w:rsid w:val="00DE5AF9"/>
    <w:rsid w:val="00DF0D5D"/>
    <w:rsid w:val="00E64C82"/>
    <w:rsid w:val="00E7128C"/>
    <w:rsid w:val="00EA3D53"/>
    <w:rsid w:val="00EF54D0"/>
    <w:rsid w:val="00F7688D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E2CDD-86ED-46B8-A6F2-AC4530F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11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263534-C17D-4F78-A931-455C6085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13889</Words>
  <Characters>7918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Maryna</cp:lastModifiedBy>
  <cp:revision>4</cp:revision>
  <cp:lastPrinted>2023-06-05T07:40:00Z</cp:lastPrinted>
  <dcterms:created xsi:type="dcterms:W3CDTF">2024-02-07T09:05:00Z</dcterms:created>
  <dcterms:modified xsi:type="dcterms:W3CDTF">2024-02-08T09:22:00Z</dcterms:modified>
</cp:coreProperties>
</file>