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FB" w:rsidRDefault="00F966FB" w:rsidP="00F966F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966FB" w:rsidRDefault="00F966FB" w:rsidP="00F966F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6FB" w:rsidRDefault="00F966FB" w:rsidP="00F966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966FB" w:rsidRDefault="00F966FB" w:rsidP="00F966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966FB" w:rsidRDefault="00F966FB" w:rsidP="00F9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F966FB" w:rsidRDefault="00F966FB" w:rsidP="00F966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670">
        <w:rPr>
          <w:b/>
          <w:bCs/>
          <w:i/>
          <w:sz w:val="28"/>
          <w:szCs w:val="28"/>
        </w:rPr>
        <w:t>Підвищення кваліфікації вчителів (згідно код  ДК 021:2015   80570000-0 – Послуги з професійної підготовки у сфері підвищення кваліфікації )</w:t>
      </w:r>
    </w:p>
    <w:p w:rsidR="00F966FB" w:rsidRDefault="00F966FB"/>
    <w:tbl>
      <w:tblPr>
        <w:tblW w:w="10695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6424"/>
        <w:gridCol w:w="1701"/>
        <w:gridCol w:w="1701"/>
      </w:tblGrid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42325B" w:rsidRDefault="0042325B" w:rsidP="00F966F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Напрям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42325B" w:rsidRDefault="0042325B" w:rsidP="00F966F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Обсяг підвищення кваліфікації (год.)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42325B" w:rsidRDefault="0042325B" w:rsidP="00F966F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 педагогів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Організація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безпечного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здоров’язбережувального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освітнього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середовища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Особливості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виховання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особливими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освітніми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потребами в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умовах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інклюзивної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Особливості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виховання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особливими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освітніми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потребами в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умовах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інклюзивної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Виховна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робота у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сучасному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закладі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середньої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Науково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-методична робота у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забезпеченні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процесів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позашкільній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Організація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інклюзивного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середовища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закладі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Інформаційно-комунікаційні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технології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інноваційні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методи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особистісного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розвитку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дитини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дошкільного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віку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відповідно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вимог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Професійного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стандарту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вихователя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)»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120/4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Тривожні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розлади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депресивні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різного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віку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способи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допомога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Терапія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основана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взаємовідносинах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довіри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Психологічний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супровід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учасників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освітнього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процесу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Біорізноманіття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його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рівні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Сучасні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тенденції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систематики (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Частина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2)»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Концептуальний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підхід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формування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компетентностей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вчителя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хімії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відповідно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вимог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Професійних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стандартів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Деякі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аспекти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сучасної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географічної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освіти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Організація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ефективного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математики в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кризових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умовах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виклики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можливості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Олімпіадне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програмування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Вдосконалення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інформаційно-цифрової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компетентності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професійній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діяльності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педагогічних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працівників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відповідно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вимог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Професійного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стандарту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Особливості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перевірки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програмних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результатів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заняттях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історії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суспільних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дисциплін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17.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Теорія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і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практика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музично-педагогічної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виконавської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художньо-просвітницької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діяльності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вчителя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музичного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мистецтва</w:t>
            </w:r>
            <w:proofErr w:type="spellEnd"/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42325B" w:rsidRPr="00F966FB" w:rsidTr="0042325B">
        <w:trPr>
          <w:trHeight w:val="227"/>
          <w:tblCellSpacing w:w="0" w:type="dxa"/>
        </w:trPr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42325B" w:rsidRDefault="0042325B" w:rsidP="004232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F966F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B" w:rsidRPr="0042325B" w:rsidRDefault="0042325B" w:rsidP="004232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197</w:t>
            </w:r>
          </w:p>
        </w:tc>
      </w:tr>
    </w:tbl>
    <w:p w:rsidR="00F966FB" w:rsidRDefault="00F966FB" w:rsidP="00F966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966FB" w:rsidRPr="004C4B0A" w:rsidRDefault="00F966FB" w:rsidP="0042325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4B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Якщо строк (термін) дії  ліцензій, </w:t>
      </w:r>
      <w:proofErr w:type="spellStart"/>
      <w:r w:rsidRPr="004C4B0A">
        <w:rPr>
          <w:rFonts w:ascii="Times New Roman" w:eastAsia="Times New Roman" w:hAnsi="Times New Roman" w:cs="Times New Roman"/>
          <w:i/>
          <w:iCs/>
          <w:sz w:val="24"/>
          <w:szCs w:val="24"/>
        </w:rPr>
        <w:t>свідоцтв</w:t>
      </w:r>
      <w:proofErr w:type="spellEnd"/>
      <w:r w:rsidRPr="004C4B0A">
        <w:rPr>
          <w:rFonts w:ascii="Times New Roman" w:eastAsia="Times New Roman" w:hAnsi="Times New Roman" w:cs="Times New Roman"/>
          <w:i/>
          <w:iCs/>
          <w:sz w:val="24"/>
          <w:szCs w:val="24"/>
        </w:rPr>
        <w:t>, сертифікатів тощо, наданих Учасником у складі тендерної пропозиції, спливає до моменту закінчення надання послуг, Учасник у складі пропозиції має надати документальне підтвердження-зобов’язання  (</w:t>
      </w:r>
      <w:r w:rsidRPr="004C4B0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лист, довідка або інший підтверджуючий документ за підписом уповноваженої особи Учасника</w:t>
      </w:r>
      <w:r w:rsidRPr="004C4B0A">
        <w:rPr>
          <w:rFonts w:ascii="Times New Roman" w:eastAsia="Times New Roman" w:hAnsi="Times New Roman" w:cs="Times New Roman"/>
          <w:i/>
          <w:iCs/>
          <w:sz w:val="24"/>
          <w:szCs w:val="24"/>
        </w:rPr>
        <w:t>) щодо їх отримання до моменту укладання договору (продовження терміну дії на весь період надання послуг, що є предметом закупівлі).</w:t>
      </w:r>
    </w:p>
    <w:p w:rsidR="00F966FB" w:rsidRPr="00F966FB" w:rsidRDefault="00F966FB" w:rsidP="00F966FB">
      <w:pPr>
        <w:numPr>
          <w:ilvl w:val="2"/>
          <w:numId w:val="2"/>
        </w:numPr>
        <w:suppressAutoHyphens/>
        <w:spacing w:after="0" w:line="240" w:lineRule="auto"/>
        <w:ind w:left="0" w:hanging="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Вимоги до закладу освіти, який буде надавати освітню послугу: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Здійснення підвищення кваліфікації педагогічних працівників у 2021 році відповідно до статті 78 Закону України «Про освіту», статті 51 Закону України «Про повну загальну середню освіту», постанови Кабінету Міністрів України від 21 серпня 2019 р. № 800 «Деякі питання підвищення кваліфікації педагогічних і науково-педагогічних працівників» із змінами, внесеними згідно з постановою Кабінету Міністрів України від 27 грудня 2019 р. № 1133.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Здійснення підвищення кваліфікації вчителів закладів загальної середньої освіти  в умовах реалізації  державних стандартів середньої освіти за напрямами: професійна діяльність вчителя (формування ключових та предметних </w:t>
      </w:r>
      <w:proofErr w:type="spellStart"/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компетентностей</w:t>
      </w:r>
      <w:proofErr w:type="spellEnd"/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впровадження діяльнісних, зокрема ігрових, проектних  методів навчання тощо), організація інклюзивного навчання, використання цифрових технологій, технологій дистанційного та змішаного навчання відповідно до Концепції реалізації державної політики у сфері реформування загальної середньої освіти.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Наявність ліцензії на здійснення підвищення кваліфікації педагогічних працівників сфери освіта.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Ліцензія має бути дійсна на весь період навчання.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Варіативність підвищення кваліфікації педагогічних працівників: навчання за різними формами (денна, заочна, очно-дистанційна) з використанням дистанційних технологій та онлайн-формату в синхронному та асинхронному режимах.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Забезпечення організації навчання за місцем знаходження слухачів.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Наявність достатньої кількості аудиторій для забезпечення можливості проведення занять.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Видача документа про підвищення кваліфікації державного зразка.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Незалежно від напов</w:t>
      </w:r>
      <w:bookmarkStart w:id="0" w:name="_GoBack"/>
      <w:bookmarkEnd w:id="0"/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нення навчальної групи, вартість на одного слухача не повинна перевищувати вартості,  заявленої у пропозиції.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Забезпечення відкритості і доступності інформації про кожну власну освітню програму підвищення кваліфікації шляхом її оприлюднення на своєму веб-сайті..</w:t>
      </w:r>
    </w:p>
    <w:p w:rsidR="00F966FB" w:rsidRPr="00D50534" w:rsidRDefault="00F966FB" w:rsidP="00F966FB">
      <w:pPr>
        <w:numPr>
          <w:ilvl w:val="3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0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Перелік виданих документів про підвищення кваліфікації оприлюднюється на веб-сайті суб’єкта підвищення кваліфікації протягом 15 календарних днів після їх видачі.</w:t>
      </w:r>
    </w:p>
    <w:p w:rsidR="00F966FB" w:rsidRPr="00D50534" w:rsidRDefault="00F966FB" w:rsidP="00F966FB">
      <w:pPr>
        <w:numPr>
          <w:ilvl w:val="3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0534">
        <w:rPr>
          <w:rFonts w:ascii="Times New Roman" w:eastAsia="Times New Roman" w:hAnsi="Times New Roman" w:cs="Times New Roman"/>
          <w:sz w:val="24"/>
          <w:szCs w:val="24"/>
        </w:rPr>
        <w:t xml:space="preserve"> Довідка в довільній формі, з обов'язково зазначеною інформацією про наявність працівників відповідної кваліфікації: ПІБ співробітника, рівень освіти, загальний стаж роботи, досвід роботи н</w:t>
      </w:r>
      <w:r w:rsidR="000F7ED5">
        <w:rPr>
          <w:rFonts w:ascii="Times New Roman" w:eastAsia="Times New Roman" w:hAnsi="Times New Roman" w:cs="Times New Roman"/>
          <w:sz w:val="24"/>
          <w:szCs w:val="24"/>
        </w:rPr>
        <w:t>а посаді.</w:t>
      </w:r>
    </w:p>
    <w:p w:rsidR="00F966FB" w:rsidRDefault="00F966FB" w:rsidP="00F96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66FB" w:rsidRDefault="00F966FB"/>
    <w:sectPr w:rsidR="00F966FB" w:rsidSect="0042325B">
      <w:pgSz w:w="12240" w:h="15840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812891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FB"/>
    <w:rsid w:val="000F7ED5"/>
    <w:rsid w:val="0042325B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0C6A"/>
  <w15:chartTrackingRefBased/>
  <w15:docId w15:val="{4DBC127D-1253-4B8C-8BFC-99C90BE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F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F966FB"/>
    <w:pPr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31">
    <w:name w:val="Заголовок 31"/>
    <w:basedOn w:val="a"/>
    <w:next w:val="a"/>
    <w:rsid w:val="00F966FB"/>
    <w:pPr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</cp:revision>
  <dcterms:created xsi:type="dcterms:W3CDTF">2024-02-26T12:45:00Z</dcterms:created>
  <dcterms:modified xsi:type="dcterms:W3CDTF">2024-02-28T07:36:00Z</dcterms:modified>
</cp:coreProperties>
</file>