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A2490" w14:textId="77777777" w:rsidR="00272AD8" w:rsidRPr="0055555C" w:rsidRDefault="00272AD8" w:rsidP="00272AD8">
      <w:pPr>
        <w:pageBreakBefore/>
        <w:jc w:val="right"/>
        <w:rPr>
          <w:sz w:val="24"/>
          <w:szCs w:val="24"/>
        </w:rPr>
      </w:pPr>
      <w:r w:rsidRPr="00266676">
        <w:rPr>
          <w:b/>
          <w:sz w:val="24"/>
          <w:szCs w:val="24"/>
        </w:rPr>
        <w:t>Додаток № 3</w:t>
      </w:r>
      <w:r w:rsidRPr="0055555C">
        <w:rPr>
          <w:sz w:val="24"/>
          <w:szCs w:val="24"/>
        </w:rPr>
        <w:t xml:space="preserve"> до тендерної документації </w:t>
      </w:r>
    </w:p>
    <w:p w14:paraId="03C99C61" w14:textId="77777777" w:rsidR="00272AD8" w:rsidRPr="00201DEB" w:rsidRDefault="00272AD8" w:rsidP="00272AD8">
      <w:pPr>
        <w:spacing w:after="0" w:line="360" w:lineRule="auto"/>
        <w:jc w:val="center"/>
        <w:rPr>
          <w:b/>
          <w:sz w:val="24"/>
          <w:szCs w:val="24"/>
        </w:rPr>
      </w:pPr>
      <w:r w:rsidRPr="00201DEB">
        <w:rPr>
          <w:b/>
          <w:sz w:val="24"/>
          <w:szCs w:val="24"/>
        </w:rPr>
        <w:t xml:space="preserve">Технічні вимоги </w:t>
      </w:r>
    </w:p>
    <w:p w14:paraId="6880F6A6" w14:textId="77777777" w:rsidR="00272AD8" w:rsidRPr="00201DEB" w:rsidRDefault="00272AD8" w:rsidP="00272AD8">
      <w:pPr>
        <w:widowControl w:val="0"/>
        <w:tabs>
          <w:tab w:val="right" w:pos="1086"/>
          <w:tab w:val="left" w:pos="1141"/>
          <w:tab w:val="right" w:pos="9412"/>
        </w:tabs>
        <w:spacing w:after="0"/>
        <w:ind w:right="142"/>
        <w:rPr>
          <w:rFonts w:ascii="Arial" w:hAnsi="Arial" w:cs="Arial"/>
          <w:color w:val="454545"/>
          <w:sz w:val="24"/>
          <w:szCs w:val="24"/>
          <w:highlight w:val="yellow"/>
        </w:rPr>
      </w:pPr>
      <w:r>
        <w:rPr>
          <w:b/>
          <w:sz w:val="24"/>
          <w:szCs w:val="24"/>
        </w:rPr>
        <w:t xml:space="preserve">            </w:t>
      </w:r>
      <w:r w:rsidRPr="00201DEB">
        <w:rPr>
          <w:b/>
          <w:sz w:val="24"/>
          <w:szCs w:val="24"/>
        </w:rPr>
        <w:t>ДК 021:2015:09130000-9: Нафта і дистиляти (Бензин А-95</w:t>
      </w:r>
      <w:r>
        <w:rPr>
          <w:b/>
          <w:sz w:val="24"/>
          <w:szCs w:val="24"/>
        </w:rPr>
        <w:t xml:space="preserve"> (в талонах)</w:t>
      </w:r>
      <w:r w:rsidRPr="00201DEB">
        <w:rPr>
          <w:b/>
          <w:sz w:val="24"/>
          <w:szCs w:val="24"/>
        </w:rPr>
        <w:t xml:space="preserve">, дизельне </w:t>
      </w:r>
      <w:r>
        <w:rPr>
          <w:b/>
          <w:sz w:val="24"/>
          <w:szCs w:val="24"/>
        </w:rPr>
        <w:t xml:space="preserve">     </w:t>
      </w:r>
      <w:r w:rsidRPr="00201DEB">
        <w:rPr>
          <w:b/>
          <w:sz w:val="24"/>
          <w:szCs w:val="24"/>
        </w:rPr>
        <w:t>паливо</w:t>
      </w:r>
      <w:r>
        <w:rPr>
          <w:b/>
          <w:sz w:val="24"/>
          <w:szCs w:val="24"/>
        </w:rPr>
        <w:t>(в талонах)</w:t>
      </w:r>
      <w:r w:rsidRPr="00201DEB">
        <w:rPr>
          <w:b/>
          <w:sz w:val="24"/>
          <w:szCs w:val="24"/>
        </w:rPr>
        <w:t>)</w:t>
      </w:r>
      <w:r w:rsidRPr="00201DEB">
        <w:rPr>
          <w:rFonts w:ascii="Arial" w:hAnsi="Arial" w:cs="Arial"/>
          <w:color w:val="454545"/>
          <w:sz w:val="24"/>
          <w:szCs w:val="24"/>
          <w:highlight w:val="yellow"/>
        </w:rPr>
        <w:t xml:space="preserve"> </w:t>
      </w:r>
    </w:p>
    <w:p w14:paraId="36832E19" w14:textId="77777777" w:rsidR="00272AD8" w:rsidRPr="00AA7F63" w:rsidRDefault="00272AD8" w:rsidP="00272AD8">
      <w:pPr>
        <w:spacing w:after="0"/>
        <w:rPr>
          <w:b/>
          <w:color w:val="000000"/>
          <w:sz w:val="24"/>
          <w:szCs w:val="24"/>
          <w:highlight w:val="white"/>
        </w:rPr>
      </w:pPr>
      <w:r w:rsidRPr="00AA7F63">
        <w:rPr>
          <w:b/>
          <w:color w:val="000000"/>
          <w:sz w:val="24"/>
          <w:szCs w:val="24"/>
          <w:highlight w:val="white"/>
        </w:rPr>
        <w:t>Інформація про необхідні технічні, якісні та кількісні характеристики предмета закупівлі</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1559"/>
        <w:gridCol w:w="1305"/>
      </w:tblGrid>
      <w:tr w:rsidR="00272AD8" w:rsidRPr="00201DEB" w14:paraId="45A50ED8" w14:textId="77777777" w:rsidTr="00733F92">
        <w:tc>
          <w:tcPr>
            <w:tcW w:w="3652" w:type="dxa"/>
            <w:vAlign w:val="center"/>
          </w:tcPr>
          <w:p w14:paraId="618C4F38" w14:textId="77777777" w:rsidR="00272AD8" w:rsidRPr="00201DEB" w:rsidRDefault="00272AD8" w:rsidP="00733F92">
            <w:pPr>
              <w:widowControl w:val="0"/>
              <w:jc w:val="center"/>
              <w:rPr>
                <w:b/>
                <w:sz w:val="24"/>
                <w:szCs w:val="24"/>
                <w:highlight w:val="white"/>
              </w:rPr>
            </w:pPr>
            <w:r w:rsidRPr="00201DEB">
              <w:rPr>
                <w:b/>
                <w:sz w:val="24"/>
                <w:szCs w:val="24"/>
                <w:highlight w:val="white"/>
              </w:rPr>
              <w:t>Найменування товару</w:t>
            </w:r>
          </w:p>
        </w:tc>
        <w:tc>
          <w:tcPr>
            <w:tcW w:w="3119" w:type="dxa"/>
            <w:vAlign w:val="center"/>
          </w:tcPr>
          <w:p w14:paraId="5EC804E3" w14:textId="77777777" w:rsidR="00272AD8" w:rsidRPr="00201DEB" w:rsidRDefault="00272AD8" w:rsidP="00733F92">
            <w:pPr>
              <w:jc w:val="center"/>
              <w:rPr>
                <w:b/>
                <w:sz w:val="24"/>
                <w:szCs w:val="24"/>
                <w:highlight w:val="white"/>
              </w:rPr>
            </w:pPr>
            <w:r w:rsidRPr="00201DEB">
              <w:rPr>
                <w:b/>
                <w:sz w:val="24"/>
                <w:szCs w:val="24"/>
                <w:highlight w:val="white"/>
              </w:rPr>
              <w:t>Технічні характеристики (параметри)</w:t>
            </w:r>
          </w:p>
        </w:tc>
        <w:tc>
          <w:tcPr>
            <w:tcW w:w="1559" w:type="dxa"/>
            <w:vAlign w:val="center"/>
          </w:tcPr>
          <w:p w14:paraId="3A7067BC" w14:textId="77777777" w:rsidR="00272AD8" w:rsidRPr="00201DEB" w:rsidRDefault="00272AD8" w:rsidP="00733F92">
            <w:pPr>
              <w:jc w:val="center"/>
              <w:rPr>
                <w:b/>
                <w:sz w:val="24"/>
                <w:szCs w:val="24"/>
                <w:highlight w:val="white"/>
              </w:rPr>
            </w:pPr>
            <w:r w:rsidRPr="00201DEB">
              <w:rPr>
                <w:b/>
                <w:sz w:val="24"/>
                <w:szCs w:val="24"/>
                <w:highlight w:val="white"/>
              </w:rPr>
              <w:t>Одиниця виміру</w:t>
            </w:r>
          </w:p>
        </w:tc>
        <w:tc>
          <w:tcPr>
            <w:tcW w:w="1305" w:type="dxa"/>
            <w:vAlign w:val="center"/>
          </w:tcPr>
          <w:p w14:paraId="05486706" w14:textId="77777777" w:rsidR="00272AD8" w:rsidRPr="00201DEB" w:rsidRDefault="00272AD8" w:rsidP="00733F92">
            <w:pPr>
              <w:jc w:val="center"/>
              <w:rPr>
                <w:b/>
                <w:sz w:val="24"/>
                <w:szCs w:val="24"/>
                <w:highlight w:val="white"/>
              </w:rPr>
            </w:pPr>
            <w:r w:rsidRPr="00201DEB">
              <w:rPr>
                <w:b/>
                <w:sz w:val="24"/>
                <w:szCs w:val="24"/>
                <w:highlight w:val="white"/>
              </w:rPr>
              <w:t>Кількість</w:t>
            </w:r>
          </w:p>
        </w:tc>
      </w:tr>
      <w:tr w:rsidR="00272AD8" w:rsidRPr="00201DEB" w14:paraId="4F102FD0" w14:textId="77777777" w:rsidTr="00733F92">
        <w:tc>
          <w:tcPr>
            <w:tcW w:w="3652" w:type="dxa"/>
          </w:tcPr>
          <w:p w14:paraId="6837611D" w14:textId="77777777" w:rsidR="00272AD8" w:rsidRPr="00201DEB" w:rsidRDefault="00272AD8" w:rsidP="00733F92">
            <w:pPr>
              <w:pStyle w:val="1"/>
              <w:spacing w:line="240" w:lineRule="auto"/>
              <w:jc w:val="both"/>
              <w:rPr>
                <w:rFonts w:ascii="Times New Roman" w:hAnsi="Times New Roman" w:cs="Times New Roman"/>
                <w:b/>
                <w:sz w:val="24"/>
                <w:szCs w:val="24"/>
                <w:shd w:val="clear" w:color="auto" w:fill="FFFFFF"/>
                <w:lang w:val="ru-RU"/>
              </w:rPr>
            </w:pPr>
            <w:r w:rsidRPr="00201DEB">
              <w:rPr>
                <w:rFonts w:ascii="Times New Roman" w:hAnsi="Times New Roman" w:cs="Times New Roman"/>
                <w:sz w:val="24"/>
                <w:szCs w:val="24"/>
              </w:rPr>
              <w:t xml:space="preserve">Бензин А-95 </w:t>
            </w:r>
            <w:r w:rsidRPr="00201DEB">
              <w:rPr>
                <w:rFonts w:ascii="Times New Roman" w:hAnsi="Times New Roman" w:cs="Times New Roman"/>
                <w:sz w:val="24"/>
                <w:szCs w:val="24"/>
                <w:lang w:val="ru-RU"/>
              </w:rPr>
              <w:t>(в талонах)</w:t>
            </w:r>
          </w:p>
        </w:tc>
        <w:tc>
          <w:tcPr>
            <w:tcW w:w="3119" w:type="dxa"/>
            <w:vAlign w:val="center"/>
          </w:tcPr>
          <w:p w14:paraId="2F957DE9" w14:textId="77777777" w:rsidR="00272AD8" w:rsidRPr="00201DEB" w:rsidRDefault="00272AD8" w:rsidP="00733F92">
            <w:pPr>
              <w:jc w:val="center"/>
              <w:rPr>
                <w:sz w:val="24"/>
                <w:szCs w:val="24"/>
                <w:highlight w:val="white"/>
              </w:rPr>
            </w:pPr>
            <w:r w:rsidRPr="00201DEB">
              <w:rPr>
                <w:sz w:val="24"/>
                <w:szCs w:val="24"/>
                <w:highlight w:val="white"/>
              </w:rPr>
              <w:t>відповідає вимогам ДСТУ 7687:2015</w:t>
            </w:r>
            <w:r>
              <w:rPr>
                <w:sz w:val="24"/>
                <w:szCs w:val="24"/>
                <w:highlight w:val="white"/>
              </w:rPr>
              <w:t xml:space="preserve"> та/або ТР</w:t>
            </w:r>
          </w:p>
        </w:tc>
        <w:tc>
          <w:tcPr>
            <w:tcW w:w="1559" w:type="dxa"/>
            <w:vAlign w:val="center"/>
          </w:tcPr>
          <w:p w14:paraId="150C2E76" w14:textId="77777777" w:rsidR="00272AD8" w:rsidRPr="00201DEB" w:rsidRDefault="00272AD8" w:rsidP="00733F92">
            <w:pPr>
              <w:jc w:val="center"/>
              <w:rPr>
                <w:sz w:val="24"/>
                <w:szCs w:val="24"/>
                <w:highlight w:val="white"/>
              </w:rPr>
            </w:pPr>
            <w:r w:rsidRPr="00201DEB">
              <w:rPr>
                <w:sz w:val="24"/>
                <w:szCs w:val="24"/>
                <w:highlight w:val="white"/>
              </w:rPr>
              <w:t>л.</w:t>
            </w:r>
          </w:p>
        </w:tc>
        <w:tc>
          <w:tcPr>
            <w:tcW w:w="1305" w:type="dxa"/>
            <w:vAlign w:val="center"/>
          </w:tcPr>
          <w:p w14:paraId="0F5F1E0A" w14:textId="77777777" w:rsidR="00272AD8" w:rsidRPr="00201DEB" w:rsidRDefault="005146E4" w:rsidP="00733F92">
            <w:pPr>
              <w:jc w:val="center"/>
              <w:rPr>
                <w:sz w:val="24"/>
                <w:szCs w:val="24"/>
                <w:highlight w:val="white"/>
              </w:rPr>
            </w:pPr>
            <w:r w:rsidRPr="00866596">
              <w:rPr>
                <w:sz w:val="24"/>
                <w:szCs w:val="24"/>
              </w:rPr>
              <w:t>13</w:t>
            </w:r>
            <w:r w:rsidR="00272AD8" w:rsidRPr="00866596">
              <w:rPr>
                <w:sz w:val="24"/>
                <w:szCs w:val="24"/>
              </w:rPr>
              <w:t>000</w:t>
            </w:r>
          </w:p>
        </w:tc>
      </w:tr>
      <w:tr w:rsidR="00272AD8" w:rsidRPr="00201DEB" w14:paraId="3FC4F494" w14:textId="77777777" w:rsidTr="00733F92">
        <w:tc>
          <w:tcPr>
            <w:tcW w:w="3652" w:type="dxa"/>
          </w:tcPr>
          <w:p w14:paraId="3B0711A9" w14:textId="77777777" w:rsidR="00272AD8" w:rsidRPr="00201DEB" w:rsidRDefault="00272AD8" w:rsidP="00BE5C19">
            <w:pPr>
              <w:pStyle w:val="a3"/>
              <w:widowControl w:val="0"/>
              <w:tabs>
                <w:tab w:val="left" w:pos="300"/>
              </w:tabs>
              <w:spacing w:after="0"/>
              <w:jc w:val="both"/>
            </w:pPr>
            <w:r w:rsidRPr="00201DEB">
              <w:t>Дизельне паливо (в талонах)</w:t>
            </w:r>
          </w:p>
        </w:tc>
        <w:tc>
          <w:tcPr>
            <w:tcW w:w="3119" w:type="dxa"/>
            <w:vAlign w:val="center"/>
          </w:tcPr>
          <w:p w14:paraId="193D44BB" w14:textId="77777777" w:rsidR="00272AD8" w:rsidRPr="00201DEB" w:rsidRDefault="00272AD8" w:rsidP="00733F92">
            <w:pPr>
              <w:jc w:val="center"/>
              <w:rPr>
                <w:sz w:val="24"/>
                <w:szCs w:val="24"/>
                <w:highlight w:val="white"/>
              </w:rPr>
            </w:pPr>
            <w:r w:rsidRPr="00201DEB">
              <w:rPr>
                <w:sz w:val="24"/>
                <w:szCs w:val="24"/>
                <w:highlight w:val="white"/>
              </w:rPr>
              <w:t>відповідає вимогам ДСТУ 7688:2015</w:t>
            </w:r>
            <w:r>
              <w:rPr>
                <w:sz w:val="24"/>
                <w:szCs w:val="24"/>
                <w:highlight w:val="white"/>
              </w:rPr>
              <w:t xml:space="preserve"> та/або ТР</w:t>
            </w:r>
          </w:p>
        </w:tc>
        <w:tc>
          <w:tcPr>
            <w:tcW w:w="1559" w:type="dxa"/>
            <w:vAlign w:val="center"/>
          </w:tcPr>
          <w:p w14:paraId="5E828695" w14:textId="77777777" w:rsidR="00272AD8" w:rsidRPr="00201DEB" w:rsidRDefault="00272AD8" w:rsidP="00733F92">
            <w:pPr>
              <w:jc w:val="center"/>
              <w:rPr>
                <w:sz w:val="24"/>
                <w:szCs w:val="24"/>
                <w:highlight w:val="white"/>
              </w:rPr>
            </w:pPr>
            <w:r w:rsidRPr="00201DEB">
              <w:rPr>
                <w:sz w:val="24"/>
                <w:szCs w:val="24"/>
                <w:highlight w:val="white"/>
              </w:rPr>
              <w:t>л.</w:t>
            </w:r>
          </w:p>
        </w:tc>
        <w:tc>
          <w:tcPr>
            <w:tcW w:w="1305" w:type="dxa"/>
            <w:vAlign w:val="center"/>
          </w:tcPr>
          <w:p w14:paraId="5071FB5D" w14:textId="77777777" w:rsidR="00272AD8" w:rsidRPr="00201DEB" w:rsidRDefault="005146E4" w:rsidP="00733F92">
            <w:pPr>
              <w:jc w:val="center"/>
              <w:rPr>
                <w:sz w:val="24"/>
                <w:szCs w:val="24"/>
                <w:highlight w:val="white"/>
              </w:rPr>
            </w:pPr>
            <w:r w:rsidRPr="00866596">
              <w:rPr>
                <w:sz w:val="24"/>
                <w:szCs w:val="24"/>
              </w:rPr>
              <w:t>6</w:t>
            </w:r>
            <w:r w:rsidR="00272AD8" w:rsidRPr="00866596">
              <w:rPr>
                <w:sz w:val="24"/>
                <w:szCs w:val="24"/>
              </w:rPr>
              <w:t>000</w:t>
            </w:r>
          </w:p>
        </w:tc>
      </w:tr>
    </w:tbl>
    <w:p w14:paraId="01E7AAC9" w14:textId="77777777" w:rsidR="00272AD8" w:rsidRPr="00201DEB" w:rsidRDefault="00272AD8" w:rsidP="00272AD8">
      <w:pPr>
        <w:tabs>
          <w:tab w:val="left" w:pos="0"/>
          <w:tab w:val="center" w:pos="4153"/>
          <w:tab w:val="right" w:pos="8306"/>
        </w:tabs>
        <w:ind w:firstLine="284"/>
        <w:jc w:val="both"/>
        <w:rPr>
          <w:color w:val="000000"/>
          <w:sz w:val="24"/>
          <w:szCs w:val="24"/>
        </w:rPr>
      </w:pPr>
      <w:r w:rsidRPr="00BC28E4">
        <w:rPr>
          <w:sz w:val="24"/>
          <w:szCs w:val="24"/>
        </w:rPr>
        <w:t xml:space="preserve">    </w:t>
      </w:r>
      <w:r w:rsidRPr="00BC28E4">
        <w:rPr>
          <w:color w:val="000000"/>
          <w:sz w:val="24"/>
          <w:szCs w:val="24"/>
        </w:rPr>
        <w:t>Б</w:t>
      </w:r>
      <w:r w:rsidRPr="00201DEB">
        <w:rPr>
          <w:color w:val="000000"/>
          <w:sz w:val="24"/>
          <w:szCs w:val="24"/>
        </w:rPr>
        <w:t>ензин А-95 та Дизельне паливо</w:t>
      </w:r>
      <w:r w:rsidRPr="00201DEB">
        <w:rPr>
          <w:b/>
          <w:color w:val="000000"/>
          <w:sz w:val="24"/>
          <w:szCs w:val="24"/>
        </w:rPr>
        <w:t xml:space="preserve"> </w:t>
      </w:r>
      <w:r w:rsidRPr="00201DEB">
        <w:rPr>
          <w:color w:val="000000"/>
          <w:sz w:val="24"/>
          <w:szCs w:val="24"/>
        </w:rPr>
        <w:t>повинні відповідати діючим державним стандартам, технічним умовам та чинному законодавству щодо показників якості такого виду товару.</w:t>
      </w:r>
    </w:p>
    <w:p w14:paraId="2F8F8C68" w14:textId="5F875AB0" w:rsidR="00272AD8" w:rsidRPr="00E55157" w:rsidRDefault="00E55157" w:rsidP="00E55157">
      <w:pPr>
        <w:spacing w:after="0" w:line="240" w:lineRule="auto"/>
        <w:ind w:right="72"/>
        <w:jc w:val="both"/>
        <w:rPr>
          <w:color w:val="000000"/>
          <w:sz w:val="24"/>
          <w:szCs w:val="24"/>
        </w:rPr>
      </w:pPr>
      <w:r>
        <w:rPr>
          <w:color w:val="000000"/>
          <w:sz w:val="24"/>
          <w:szCs w:val="24"/>
        </w:rPr>
        <w:t>1.</w:t>
      </w:r>
      <w:r w:rsidR="00272AD8" w:rsidRPr="00E55157">
        <w:rPr>
          <w:color w:val="000000"/>
          <w:sz w:val="24"/>
          <w:szCs w:val="24"/>
        </w:rPr>
        <w:t xml:space="preserve">Технічні, якісні характеристики предмета закупівлі повинні передбачати необхідність застосування заходів із захисту довкілля </w:t>
      </w:r>
      <w:r w:rsidR="00272AD8" w:rsidRPr="00E55157">
        <w:rPr>
          <w:b/>
          <w:i/>
          <w:color w:val="000000"/>
          <w:sz w:val="24"/>
          <w:szCs w:val="24"/>
        </w:rPr>
        <w:t>надати гарантійний лист у довільній формі</w:t>
      </w:r>
      <w:r w:rsidR="00272AD8" w:rsidRPr="00E55157">
        <w:rPr>
          <w:color w:val="000000"/>
          <w:sz w:val="24"/>
          <w:szCs w:val="24"/>
        </w:rPr>
        <w:t>.</w:t>
      </w:r>
    </w:p>
    <w:p w14:paraId="55ABA3AB" w14:textId="523D7A1A" w:rsidR="00DF75B1" w:rsidRPr="00DF75B1" w:rsidRDefault="00DF75B1" w:rsidP="00E55157">
      <w:pPr>
        <w:tabs>
          <w:tab w:val="left" w:pos="142"/>
        </w:tabs>
        <w:spacing w:after="0" w:line="240" w:lineRule="auto"/>
        <w:ind w:right="72"/>
        <w:jc w:val="both"/>
        <w:rPr>
          <w:color w:val="FF0000"/>
          <w:sz w:val="24"/>
          <w:szCs w:val="24"/>
        </w:rPr>
      </w:pPr>
      <w:r>
        <w:rPr>
          <w:color w:val="00000A"/>
          <w:sz w:val="24"/>
          <w:szCs w:val="24"/>
          <w:lang w:eastAsia="zh-CN" w:bidi="hi-IN"/>
        </w:rPr>
        <w:t xml:space="preserve"> </w:t>
      </w:r>
      <w:bookmarkStart w:id="0" w:name="_GoBack"/>
      <w:bookmarkEnd w:id="0"/>
      <w:r>
        <w:rPr>
          <w:color w:val="00000A"/>
          <w:sz w:val="24"/>
          <w:szCs w:val="24"/>
          <w:lang w:eastAsia="zh-CN" w:bidi="hi-IN"/>
        </w:rPr>
        <w:t>2</w:t>
      </w:r>
      <w:r w:rsidR="00E55157">
        <w:rPr>
          <w:color w:val="00000A"/>
          <w:sz w:val="24"/>
          <w:szCs w:val="24"/>
          <w:lang w:eastAsia="zh-CN" w:bidi="hi-IN"/>
        </w:rPr>
        <w:t>.</w:t>
      </w:r>
      <w:r w:rsidR="00B013C9">
        <w:rPr>
          <w:color w:val="00000A"/>
          <w:sz w:val="24"/>
          <w:szCs w:val="24"/>
          <w:lang w:eastAsia="zh-CN" w:bidi="hi-IN"/>
        </w:rPr>
        <w:t>Надати д</w:t>
      </w:r>
      <w:r w:rsidRPr="00DF75B1">
        <w:rPr>
          <w:color w:val="00000A"/>
          <w:sz w:val="24"/>
          <w:szCs w:val="24"/>
          <w:lang w:eastAsia="zh-CN" w:bidi="hi-IN"/>
        </w:rPr>
        <w:t>овідку, яка містить відомості стосовно: а) кількості АЗС у м. Яготин, м. Києві та Київської області, їх місцезнаходження; б) найменування АЗС (за наявності);  в) правова форма управління чи користування АЗС, що надає право на обслуговування, зокрема: власника</w:t>
      </w:r>
      <w:bookmarkStart w:id="1" w:name="_Hlk159509030"/>
      <w:r w:rsidRPr="00DF75B1">
        <w:rPr>
          <w:color w:val="00000A"/>
          <w:sz w:val="24"/>
          <w:szCs w:val="24"/>
          <w:lang w:eastAsia="zh-CN" w:bidi="hi-IN"/>
        </w:rPr>
        <w:t>/орендаря/оператора(ліцензіата) партнерських АЗС</w:t>
      </w:r>
      <w:bookmarkEnd w:id="1"/>
      <w:r w:rsidRPr="00DF75B1">
        <w:rPr>
          <w:color w:val="00000A"/>
          <w:sz w:val="24"/>
          <w:szCs w:val="24"/>
          <w:lang w:eastAsia="zh-CN" w:bidi="hi-IN"/>
        </w:rPr>
        <w:t xml:space="preserve">. </w:t>
      </w:r>
      <w:r w:rsidRPr="00DF75B1">
        <w:rPr>
          <w:color w:val="000000"/>
          <w:sz w:val="24"/>
          <w:szCs w:val="24"/>
        </w:rPr>
        <w:t>На кожну із зазначених адрес АЗС/АЗК учасник повинен надати чинну ліцензію (</w:t>
      </w:r>
      <w:proofErr w:type="spellStart"/>
      <w:r w:rsidRPr="00DF75B1">
        <w:rPr>
          <w:color w:val="000000"/>
          <w:sz w:val="24"/>
          <w:szCs w:val="24"/>
        </w:rPr>
        <w:t>сканкопію</w:t>
      </w:r>
      <w:proofErr w:type="spellEnd"/>
      <w:r w:rsidRPr="00DF75B1">
        <w:rPr>
          <w:color w:val="000000"/>
          <w:sz w:val="24"/>
          <w:szCs w:val="24"/>
        </w:rPr>
        <w:t xml:space="preserve"> з оригіналу) або документ, що підтверджує наявність ліцензії на право роздрібної торгівлі пальним.</w:t>
      </w:r>
    </w:p>
    <w:p w14:paraId="6E3E5266" w14:textId="105C0D37" w:rsidR="00272AD8" w:rsidRPr="00AA2897" w:rsidRDefault="00272AD8" w:rsidP="00BE5C19">
      <w:pPr>
        <w:pStyle w:val="a5"/>
        <w:numPr>
          <w:ilvl w:val="0"/>
          <w:numId w:val="4"/>
        </w:numPr>
        <w:tabs>
          <w:tab w:val="left" w:pos="0"/>
        </w:tabs>
        <w:spacing w:after="0" w:line="240" w:lineRule="auto"/>
        <w:ind w:left="284" w:right="72" w:hanging="283"/>
        <w:jc w:val="both"/>
        <w:rPr>
          <w:color w:val="000000"/>
          <w:sz w:val="24"/>
          <w:szCs w:val="24"/>
        </w:rPr>
      </w:pPr>
      <w:r w:rsidRPr="00AA2897">
        <w:rPr>
          <w:color w:val="000000"/>
          <w:sz w:val="24"/>
          <w:szCs w:val="24"/>
        </w:rPr>
        <w:t>На кожній АЗС учасника повинна бути можливість одночасно здійснювати заправку автотранспорту як бензином А-95 так і дизельним паливом .</w:t>
      </w:r>
    </w:p>
    <w:p w14:paraId="7218C08D" w14:textId="77F3C32A" w:rsidR="009F547B" w:rsidRPr="00AA2897" w:rsidRDefault="005001DA" w:rsidP="009E6846">
      <w:pPr>
        <w:spacing w:after="0" w:line="240" w:lineRule="auto"/>
        <w:ind w:right="72"/>
        <w:jc w:val="both"/>
        <w:rPr>
          <w:color w:val="000000"/>
          <w:sz w:val="24"/>
          <w:szCs w:val="24"/>
        </w:rPr>
      </w:pPr>
      <w:r>
        <w:rPr>
          <w:color w:val="000000"/>
          <w:sz w:val="24"/>
          <w:szCs w:val="24"/>
        </w:rPr>
        <w:t xml:space="preserve">4. </w:t>
      </w:r>
      <w:r w:rsidR="00272AD8" w:rsidRPr="00AA2897">
        <w:rPr>
          <w:color w:val="000000"/>
          <w:sz w:val="24"/>
          <w:szCs w:val="24"/>
        </w:rPr>
        <w:t xml:space="preserve">Термін дії бланків-дозволів (талонів) єдиного зразка не менше </w:t>
      </w:r>
      <w:r w:rsidR="009F547B" w:rsidRPr="00AA2897">
        <w:rPr>
          <w:color w:val="000000"/>
          <w:sz w:val="24"/>
          <w:szCs w:val="24"/>
        </w:rPr>
        <w:t>6</w:t>
      </w:r>
      <w:r w:rsidR="00272AD8" w:rsidRPr="00AA2897">
        <w:rPr>
          <w:color w:val="000000"/>
          <w:sz w:val="24"/>
          <w:szCs w:val="24"/>
        </w:rPr>
        <w:t xml:space="preserve"> (</w:t>
      </w:r>
      <w:r w:rsidR="009F547B" w:rsidRPr="00AA2897">
        <w:rPr>
          <w:color w:val="000000"/>
          <w:sz w:val="24"/>
          <w:szCs w:val="24"/>
        </w:rPr>
        <w:t>шести</w:t>
      </w:r>
      <w:r w:rsidR="00272AD8" w:rsidRPr="00AA2897">
        <w:rPr>
          <w:color w:val="000000"/>
          <w:sz w:val="24"/>
          <w:szCs w:val="24"/>
        </w:rPr>
        <w:t xml:space="preserve">) місяців з дати постачання (з правом заміни невикористаних талонів на більший термін) і вони мають містити назву мережі АЗС/АЗК або бренд АЗС/АЗК, на яких буде здійснюватися відпуск палива, і мають прийматися на усіх АЗС/АЗК, що зазначені у Переліку АЗС/АЗК. Номінал талонів – 10, 20 літрів. На підтвердження відповідності вказаним вимогам у складі тендерної пропозиції учасник повинен надати </w:t>
      </w:r>
      <w:proofErr w:type="spellStart"/>
      <w:r w:rsidR="00272AD8" w:rsidRPr="00AA2897">
        <w:rPr>
          <w:color w:val="000000"/>
          <w:sz w:val="24"/>
          <w:szCs w:val="24"/>
        </w:rPr>
        <w:t>скан</w:t>
      </w:r>
      <w:proofErr w:type="spellEnd"/>
      <w:r w:rsidR="00272AD8" w:rsidRPr="00AA2897">
        <w:rPr>
          <w:color w:val="000000"/>
          <w:sz w:val="24"/>
          <w:szCs w:val="24"/>
        </w:rPr>
        <w:t>-копію облікових карт (талонів), за якими здійснюватиметься відпуск палива, що має відповідати вимогам, вказаним у даному пункті.</w:t>
      </w:r>
    </w:p>
    <w:p w14:paraId="091CB37D" w14:textId="5E800DD6" w:rsidR="009F547B" w:rsidRPr="009F547B" w:rsidRDefault="0033062C" w:rsidP="006958C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rPr>
      </w:pPr>
      <w:r>
        <w:rPr>
          <w:bCs/>
          <w:sz w:val="24"/>
        </w:rPr>
        <w:t xml:space="preserve">     </w:t>
      </w:r>
      <w:r w:rsidR="005001DA">
        <w:rPr>
          <w:bCs/>
          <w:sz w:val="24"/>
        </w:rPr>
        <w:t>5</w:t>
      </w:r>
      <w:r w:rsidR="009F547B" w:rsidRPr="009318FC">
        <w:rPr>
          <w:bCs/>
          <w:sz w:val="24"/>
        </w:rPr>
        <w:t xml:space="preserve">. У разі подання відомостей про АЗС орендаря/оператора(ліцензіата) партнерських АЗС, учасник </w:t>
      </w:r>
      <w:r w:rsidR="009E6846">
        <w:rPr>
          <w:bCs/>
          <w:sz w:val="24"/>
        </w:rPr>
        <w:t xml:space="preserve">   </w:t>
      </w:r>
      <w:r w:rsidR="009F547B" w:rsidRPr="009318FC">
        <w:rPr>
          <w:bCs/>
          <w:sz w:val="24"/>
        </w:rPr>
        <w:t xml:space="preserve">повинен надати </w:t>
      </w:r>
      <w:proofErr w:type="spellStart"/>
      <w:r w:rsidR="009F547B" w:rsidRPr="009318FC">
        <w:rPr>
          <w:bCs/>
          <w:sz w:val="24"/>
        </w:rPr>
        <w:t>авторизаційний</w:t>
      </w:r>
      <w:proofErr w:type="spellEnd"/>
      <w:r w:rsidR="009F547B" w:rsidRPr="009318FC">
        <w:rPr>
          <w:bCs/>
          <w:sz w:val="24"/>
        </w:rPr>
        <w:t xml:space="preserve"> лист на учасника та Замовника торгів від власника </w:t>
      </w:r>
      <w:r w:rsidR="009F547B" w:rsidRPr="009318FC">
        <w:rPr>
          <w:bCs/>
          <w:iCs/>
          <w:sz w:val="24"/>
        </w:rPr>
        <w:t xml:space="preserve">або орендаря, або партнера АЗС/АЗК, або зберігача палива </w:t>
      </w:r>
      <w:r w:rsidR="009F547B" w:rsidRPr="009318FC">
        <w:rPr>
          <w:bCs/>
          <w:sz w:val="24"/>
        </w:rPr>
        <w:t xml:space="preserve">на АЗС/АЗК, виданий не раніше дати виходу оголошення про закупівлю, </w:t>
      </w:r>
      <w:r w:rsidR="009F547B" w:rsidRPr="009318FC">
        <w:rPr>
          <w:bCs/>
          <w:iCs/>
          <w:sz w:val="24"/>
        </w:rPr>
        <w:t xml:space="preserve">з гарантією безумовного, </w:t>
      </w:r>
      <w:r w:rsidR="009F547B" w:rsidRPr="009318FC">
        <w:rPr>
          <w:bCs/>
          <w:sz w:val="24"/>
        </w:rPr>
        <w:t xml:space="preserve">цілодобового та безперебійного здійснення відпуску пального на </w:t>
      </w:r>
      <w:r w:rsidR="009F547B" w:rsidRPr="009318FC">
        <w:rPr>
          <w:bCs/>
          <w:iCs/>
          <w:sz w:val="24"/>
        </w:rPr>
        <w:t>АЗС/АЗК</w:t>
      </w:r>
      <w:r w:rsidR="009F547B" w:rsidRPr="009318FC">
        <w:rPr>
          <w:bCs/>
          <w:sz w:val="24"/>
        </w:rPr>
        <w:t xml:space="preserve"> до кінця 202</w:t>
      </w:r>
      <w:r w:rsidR="009F547B" w:rsidRPr="009318FC">
        <w:rPr>
          <w:bCs/>
          <w:sz w:val="24"/>
          <w:lang w:val="ru-RU"/>
        </w:rPr>
        <w:t>4</w:t>
      </w:r>
      <w:r w:rsidR="009F547B" w:rsidRPr="009318FC">
        <w:rPr>
          <w:bCs/>
          <w:sz w:val="24"/>
        </w:rPr>
        <w:t xml:space="preserve"> року, що зазначені у довідці про АЗС по талонам, емітованим Учасником та наданим на дану закупівлю. На оригінал листа накладається електронний цифровий підпис уповноваженої особи, що його підписала у форматі, що дає можливість перевірити КЕП</w:t>
      </w:r>
      <w:r w:rsidR="009F547B" w:rsidRPr="009318FC">
        <w:rPr>
          <w:rFonts w:eastAsia="Arial"/>
          <w:bCs/>
          <w:sz w:val="24"/>
          <w:szCs w:val="24"/>
        </w:rPr>
        <w:t>.</w:t>
      </w:r>
    </w:p>
    <w:p w14:paraId="6341C409" w14:textId="6D6ABBF7" w:rsidR="00272AD8" w:rsidRPr="009F547B" w:rsidRDefault="00D83A4A" w:rsidP="009F547B">
      <w:pPr>
        <w:tabs>
          <w:tab w:val="left" w:pos="0"/>
        </w:tabs>
        <w:spacing w:after="0" w:line="240" w:lineRule="auto"/>
        <w:ind w:right="72"/>
        <w:jc w:val="both"/>
        <w:rPr>
          <w:color w:val="000000"/>
          <w:sz w:val="24"/>
          <w:szCs w:val="24"/>
        </w:rPr>
      </w:pPr>
      <w:r>
        <w:rPr>
          <w:color w:val="000000"/>
          <w:sz w:val="24"/>
          <w:szCs w:val="24"/>
        </w:rPr>
        <w:t>6</w:t>
      </w:r>
      <w:r w:rsidR="009F547B">
        <w:rPr>
          <w:color w:val="000000"/>
          <w:sz w:val="24"/>
          <w:szCs w:val="24"/>
        </w:rPr>
        <w:t xml:space="preserve">. </w:t>
      </w:r>
      <w:r w:rsidR="00272AD8" w:rsidRPr="009F547B">
        <w:rPr>
          <w:color w:val="000000"/>
          <w:sz w:val="24"/>
          <w:szCs w:val="24"/>
        </w:rPr>
        <w:t>Учасник повинен надати у складі пропозиції відповідні підтверджуючі документи щодо права власності або використання торгового знаку (торгової марки), котрий (у) зазначено на талонах, які про</w:t>
      </w:r>
      <w:r w:rsidR="00967DEF">
        <w:rPr>
          <w:color w:val="000000"/>
          <w:sz w:val="24"/>
          <w:szCs w:val="24"/>
        </w:rPr>
        <w:t>понує Учасник відповідно до п. 4</w:t>
      </w:r>
      <w:r w:rsidR="00272AD8" w:rsidRPr="009F547B">
        <w:rPr>
          <w:color w:val="000000"/>
          <w:sz w:val="24"/>
          <w:szCs w:val="24"/>
        </w:rPr>
        <w:t xml:space="preserve"> Додатку 3 до Тендерної документації</w:t>
      </w:r>
    </w:p>
    <w:p w14:paraId="6D0A86CD" w14:textId="110995C0" w:rsidR="00272AD8" w:rsidRPr="00BC28E4" w:rsidRDefault="00D83A4A" w:rsidP="009F547B">
      <w:pPr>
        <w:tabs>
          <w:tab w:val="left" w:pos="0"/>
        </w:tabs>
        <w:spacing w:after="0" w:line="240" w:lineRule="auto"/>
        <w:ind w:right="72"/>
        <w:jc w:val="both"/>
        <w:rPr>
          <w:color w:val="000000"/>
          <w:sz w:val="24"/>
          <w:szCs w:val="24"/>
        </w:rPr>
      </w:pPr>
      <w:r>
        <w:rPr>
          <w:color w:val="000000"/>
          <w:sz w:val="24"/>
          <w:szCs w:val="24"/>
        </w:rPr>
        <w:t>7</w:t>
      </w:r>
      <w:r w:rsidR="009F547B">
        <w:rPr>
          <w:color w:val="000000"/>
          <w:sz w:val="24"/>
          <w:szCs w:val="24"/>
        </w:rPr>
        <w:t xml:space="preserve">. </w:t>
      </w:r>
      <w:r w:rsidR="00272AD8" w:rsidRPr="00BC28E4">
        <w:rPr>
          <w:color w:val="000000"/>
          <w:sz w:val="24"/>
          <w:szCs w:val="24"/>
        </w:rPr>
        <w:t>Учасник повинен надати чинну ліцензію (</w:t>
      </w:r>
      <w:proofErr w:type="spellStart"/>
      <w:r w:rsidR="00272AD8" w:rsidRPr="00BC28E4">
        <w:rPr>
          <w:color w:val="000000"/>
          <w:sz w:val="24"/>
          <w:szCs w:val="24"/>
        </w:rPr>
        <w:t>сканкопію</w:t>
      </w:r>
      <w:proofErr w:type="spellEnd"/>
      <w:r w:rsidR="00272AD8" w:rsidRPr="00BC28E4">
        <w:rPr>
          <w:color w:val="000000"/>
          <w:sz w:val="24"/>
          <w:szCs w:val="24"/>
        </w:rPr>
        <w:t xml:space="preserve"> з оригіналу) або документ, що підтверджує наявність ліцензії на право провадження ним господарської діяльності з оптової торгівлі пальним. </w:t>
      </w:r>
    </w:p>
    <w:p w14:paraId="515C25AF" w14:textId="711AE3D0" w:rsidR="00272AD8" w:rsidRPr="00201DEB" w:rsidRDefault="00D83A4A" w:rsidP="0033062C">
      <w:pPr>
        <w:spacing w:after="0" w:line="240" w:lineRule="auto"/>
        <w:jc w:val="both"/>
        <w:rPr>
          <w:color w:val="000000"/>
          <w:sz w:val="24"/>
          <w:szCs w:val="24"/>
        </w:rPr>
      </w:pPr>
      <w:r>
        <w:rPr>
          <w:color w:val="000000"/>
          <w:sz w:val="24"/>
          <w:szCs w:val="24"/>
        </w:rPr>
        <w:t>8</w:t>
      </w:r>
      <w:r w:rsidR="009F547B">
        <w:rPr>
          <w:color w:val="000000"/>
          <w:sz w:val="24"/>
          <w:szCs w:val="24"/>
        </w:rPr>
        <w:t xml:space="preserve">. </w:t>
      </w:r>
      <w:r w:rsidR="00272AD8" w:rsidRPr="00201DEB">
        <w:rPr>
          <w:color w:val="000000"/>
          <w:sz w:val="24"/>
          <w:szCs w:val="24"/>
        </w:rPr>
        <w:t xml:space="preserve">Товар  передається  Замовнику  по заявці  Замовника, одразу весь об’єм, що вказаний в заявці. </w:t>
      </w:r>
    </w:p>
    <w:p w14:paraId="571E84C9" w14:textId="6164E787" w:rsidR="00272AD8" w:rsidRPr="00201DEB" w:rsidRDefault="00D83A4A" w:rsidP="009F547B">
      <w:pPr>
        <w:spacing w:after="0" w:line="240" w:lineRule="auto"/>
        <w:jc w:val="both"/>
        <w:rPr>
          <w:color w:val="000000"/>
          <w:sz w:val="24"/>
          <w:szCs w:val="24"/>
        </w:rPr>
      </w:pPr>
      <w:r>
        <w:rPr>
          <w:color w:val="000000"/>
          <w:sz w:val="24"/>
          <w:szCs w:val="24"/>
        </w:rPr>
        <w:lastRenderedPageBreak/>
        <w:t>9</w:t>
      </w:r>
      <w:r w:rsidR="009F547B">
        <w:rPr>
          <w:color w:val="000000"/>
          <w:sz w:val="24"/>
          <w:szCs w:val="24"/>
        </w:rPr>
        <w:t xml:space="preserve">. </w:t>
      </w:r>
      <w:r w:rsidR="00272AD8" w:rsidRPr="00201DEB">
        <w:rPr>
          <w:color w:val="000000"/>
          <w:sz w:val="24"/>
          <w:szCs w:val="24"/>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14:paraId="4EB0F383" w14:textId="15E0243E" w:rsidR="009F547B" w:rsidRPr="001B418E" w:rsidRDefault="00D83A4A" w:rsidP="009F547B">
      <w:pPr>
        <w:jc w:val="both"/>
        <w:rPr>
          <w:sz w:val="24"/>
          <w:szCs w:val="24"/>
        </w:rPr>
      </w:pPr>
      <w:r>
        <w:rPr>
          <w:color w:val="00000A"/>
          <w:sz w:val="24"/>
          <w:szCs w:val="24"/>
          <w:shd w:val="clear" w:color="auto" w:fill="FFFFFF"/>
        </w:rPr>
        <w:t>10</w:t>
      </w:r>
      <w:r w:rsidR="009F547B" w:rsidRPr="001B418E">
        <w:rPr>
          <w:color w:val="00000A"/>
          <w:sz w:val="24"/>
          <w:szCs w:val="24"/>
          <w:shd w:val="clear" w:color="auto" w:fill="FFFFFF"/>
        </w:rPr>
        <w:t xml:space="preserve">. </w:t>
      </w:r>
      <w:r w:rsidR="009F547B" w:rsidRPr="00C56412">
        <w:rPr>
          <w:color w:val="00000A"/>
          <w:sz w:val="24"/>
          <w:szCs w:val="24"/>
          <w:shd w:val="clear" w:color="auto" w:fill="FFFFFF"/>
        </w:rPr>
        <w:t xml:space="preserve">Кольорові </w:t>
      </w:r>
      <w:r w:rsidR="009F547B" w:rsidRPr="00C56412">
        <w:rPr>
          <w:color w:val="222222"/>
          <w:sz w:val="24"/>
          <w:szCs w:val="24"/>
        </w:rPr>
        <w:t xml:space="preserve">оригінали сертифікатів відповідності вимогам ДСТУ ISO 9001:2015 (ISO 9001:2015, IDT) </w:t>
      </w:r>
      <w:r w:rsidR="009F547B" w:rsidRPr="00C56412">
        <w:rPr>
          <w:sz w:val="24"/>
          <w:szCs w:val="24"/>
        </w:rPr>
        <w:t>«Системи управління якістю. Вимоги», ДСТУ ISO 14001:2015 (ISO 14001:2015, IDT) «Системи екологічного управління. Вимоги та настанови щодо застосування», ДСТУ ISO 45001:2019 (ISO 45001:2018, IDT) «Системи управління охороною здоров’я та безпекою праці.  Вимоги та настанови щодо застосування», виданих на ім‘я учасника закупівлі у відповідності до міжнародних норм та вимог Національної агенції з акредитації України, та чинного на момент подання пропозиції, а також надає копію документу (атестат про акредитацію тощо), який підтверджує належну сферу акредитації такого органу з сертифікації.</w:t>
      </w:r>
    </w:p>
    <w:p w14:paraId="48D90788" w14:textId="77777777" w:rsidR="00566DE5" w:rsidRDefault="00566DE5"/>
    <w:sectPr w:rsidR="00566DE5" w:rsidSect="0033062C">
      <w:pgSz w:w="12240" w:h="15840"/>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2122"/>
    <w:multiLevelType w:val="hybridMultilevel"/>
    <w:tmpl w:val="0CE04C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F82025"/>
    <w:multiLevelType w:val="multilevel"/>
    <w:tmpl w:val="A83C766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643" w:hanging="360"/>
      </w:pPr>
      <w:rPr>
        <w:color w:val="auto"/>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36730F95"/>
    <w:multiLevelType w:val="hybridMultilevel"/>
    <w:tmpl w:val="5E4E4A52"/>
    <w:lvl w:ilvl="0" w:tplc="D6A2A690">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603698E"/>
    <w:multiLevelType w:val="multilevel"/>
    <w:tmpl w:val="A83C766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643" w:hanging="360"/>
      </w:pPr>
      <w:rPr>
        <w:color w:val="auto"/>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7B04105D"/>
    <w:multiLevelType w:val="hybridMultilevel"/>
    <w:tmpl w:val="8B2474AC"/>
    <w:lvl w:ilvl="0" w:tplc="0BAAE2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AE"/>
    <w:rsid w:val="00272AD8"/>
    <w:rsid w:val="003234C8"/>
    <w:rsid w:val="0033062C"/>
    <w:rsid w:val="005001DA"/>
    <w:rsid w:val="005146E4"/>
    <w:rsid w:val="00523650"/>
    <w:rsid w:val="00566DE5"/>
    <w:rsid w:val="006958C0"/>
    <w:rsid w:val="00866596"/>
    <w:rsid w:val="009318FC"/>
    <w:rsid w:val="0095061F"/>
    <w:rsid w:val="00967DEF"/>
    <w:rsid w:val="009B70AE"/>
    <w:rsid w:val="009E6846"/>
    <w:rsid w:val="009F547B"/>
    <w:rsid w:val="00AA2897"/>
    <w:rsid w:val="00B013C9"/>
    <w:rsid w:val="00B866F8"/>
    <w:rsid w:val="00BE5C19"/>
    <w:rsid w:val="00C56412"/>
    <w:rsid w:val="00C8490E"/>
    <w:rsid w:val="00D42C32"/>
    <w:rsid w:val="00D43582"/>
    <w:rsid w:val="00D83A4A"/>
    <w:rsid w:val="00DE7D49"/>
    <w:rsid w:val="00DF22DA"/>
    <w:rsid w:val="00DF75B1"/>
    <w:rsid w:val="00E55157"/>
    <w:rsid w:val="00E94805"/>
    <w:rsid w:val="00F419BA"/>
    <w:rsid w:val="00F96401"/>
    <w:rsid w:val="00FB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32B0"/>
  <w15:chartTrackingRefBased/>
  <w15:docId w15:val="{AD1D8C44-6B3C-4624-A120-CBBA0A37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AD8"/>
    <w:pPr>
      <w:spacing w:after="200" w:line="276"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4"/>
    <w:uiPriority w:val="99"/>
    <w:unhideWhenUsed/>
    <w:qFormat/>
    <w:rsid w:val="00272AD8"/>
    <w:pPr>
      <w:spacing w:before="100" w:beforeAutospacing="1" w:after="100" w:afterAutospacing="1" w:line="240" w:lineRule="auto"/>
    </w:pPr>
    <w:rPr>
      <w:sz w:val="24"/>
      <w:szCs w:val="24"/>
      <w:lang w:eastAsia="uk-U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locked/>
    <w:rsid w:val="00272AD8"/>
    <w:rPr>
      <w:rFonts w:ascii="Times New Roman" w:eastAsia="Times New Roman" w:hAnsi="Times New Roman" w:cs="Times New Roman"/>
      <w:sz w:val="24"/>
      <w:szCs w:val="24"/>
      <w:lang w:val="uk-UA" w:eastAsia="uk-UA"/>
    </w:rPr>
  </w:style>
  <w:style w:type="paragraph" w:customStyle="1" w:styleId="1">
    <w:name w:val="Звичайний1"/>
    <w:rsid w:val="00272AD8"/>
    <w:pPr>
      <w:widowControl w:val="0"/>
      <w:spacing w:after="200" w:line="276" w:lineRule="auto"/>
    </w:pPr>
    <w:rPr>
      <w:rFonts w:ascii="Calibri" w:eastAsia="Calibri" w:hAnsi="Calibri" w:cs="Calibri"/>
      <w:color w:val="000000"/>
      <w:sz w:val="28"/>
      <w:szCs w:val="28"/>
      <w:lang w:val="uk-UA" w:eastAsia="ru-RU"/>
    </w:rPr>
  </w:style>
  <w:style w:type="paragraph" w:styleId="a5">
    <w:name w:val="List Paragraph"/>
    <w:basedOn w:val="a"/>
    <w:uiPriority w:val="34"/>
    <w:qFormat/>
    <w:rsid w:val="009F5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39</cp:revision>
  <dcterms:created xsi:type="dcterms:W3CDTF">2024-02-22T13:56:00Z</dcterms:created>
  <dcterms:modified xsi:type="dcterms:W3CDTF">2024-02-23T07:34:00Z</dcterms:modified>
</cp:coreProperties>
</file>