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5109"/>
        <w:gridCol w:w="8"/>
      </w:tblGrid>
      <w:tr w:rsidR="00B44F1A" w:rsidRPr="0031183B" w14:paraId="0ADD8054" w14:textId="77777777" w:rsidTr="00C365AB">
        <w:trPr>
          <w:gridAfter w:val="1"/>
          <w:wAfter w:w="8" w:type="dxa"/>
          <w:trHeight w:val="434"/>
        </w:trPr>
        <w:tc>
          <w:tcPr>
            <w:tcW w:w="4820" w:type="dxa"/>
            <w:vAlign w:val="center"/>
          </w:tcPr>
          <w:p w14:paraId="3B012E08" w14:textId="2EEE93BE" w:rsidR="00B44F1A" w:rsidRPr="0031183B" w:rsidRDefault="00B44F1A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AE5958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183B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(було)</w:t>
            </w:r>
          </w:p>
        </w:tc>
        <w:tc>
          <w:tcPr>
            <w:tcW w:w="5109" w:type="dxa"/>
            <w:vAlign w:val="center"/>
          </w:tcPr>
          <w:p w14:paraId="374FC8F7" w14:textId="1C95F58D" w:rsidR="00B44F1A" w:rsidRPr="0031183B" w:rsidRDefault="00B44F1A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AE5958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 редакція</w:t>
            </w:r>
          </w:p>
        </w:tc>
      </w:tr>
      <w:tr w:rsidR="00B44F1A" w:rsidRPr="004D520A" w14:paraId="507578F8" w14:textId="77777777" w:rsidTr="00C365AB">
        <w:trPr>
          <w:gridAfter w:val="1"/>
          <w:wAfter w:w="8" w:type="dxa"/>
          <w:trHeight w:val="1972"/>
        </w:trPr>
        <w:tc>
          <w:tcPr>
            <w:tcW w:w="4820" w:type="dxa"/>
          </w:tcPr>
          <w:p w14:paraId="6BF97DAE" w14:textId="77777777" w:rsidR="00B44F1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Остаточно виводиться підсумкова ціна пропозиції конкурсних торгів, надається  розрахунок твердої договірної ціни та кошторис на українській мові. Розрахунок договірної ціни надається також на електронному носії в форматі </w:t>
            </w:r>
            <w:proofErr w:type="spellStart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bdcu</w:t>
            </w:r>
            <w:proofErr w:type="spellEnd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програмному забезпечені  останньої  редакції).</w:t>
            </w:r>
          </w:p>
          <w:p w14:paraId="7E783542" w14:textId="77777777" w:rsidR="004D520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194D51" w14:textId="77777777" w:rsidR="00435C1F" w:rsidRDefault="00435C1F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7512EF" w14:textId="77777777" w:rsidR="004D520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договірну ціну, зведений кошторисний розрахунок вартості об’єкта будівництва, локальний кошторис, підсумкову відомість ресурсів, об’єктний кошторис, дефектний акт, розроблені в програмному комплексі АВК або іншому програмному комплексі, який взаємодіє з ним в частині передачі кошторисної документації та завантажені в форматі </w:t>
            </w:r>
            <w:proofErr w:type="spellStart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imd</w:t>
            </w:r>
            <w:proofErr w:type="spellEnd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форматі</w:t>
            </w:r>
            <w:r w:rsid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25D59"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має право відхилити пропозицію учасника у зв’язку з її невідповідністю тендерній документації, якщо за результатами перевірки кошторисної вартості об’єкту встановлено заниження або завищення цін на матеріали, вироби та розцінки на надання послуг, що може призвести до неспроможності надати послуги в повному обсязі</w:t>
            </w:r>
          </w:p>
          <w:p w14:paraId="677BF87B" w14:textId="77777777" w:rsidR="00980C00" w:rsidRDefault="00980C00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0C4229" w14:textId="6CFB8888" w:rsidR="00980C00" w:rsidRPr="00980C00" w:rsidRDefault="00980C00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- договірну ціну, зведений кошторисний розрахунок вартості об’єкта будівництва, локальний кошторис,</w:t>
            </w:r>
            <w:r w:rsidRPr="00980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980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ідсумкову відомість ресурсів, об’єктний кошторис, дефектний акт, розроблені в програмному комплексі АВК </w:t>
            </w:r>
            <w:r w:rsidRPr="00980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іншому програмному комплексі, який взаємодіє з ним в частині передачі кошторисної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09" w:type="dxa"/>
          </w:tcPr>
          <w:p w14:paraId="12B2753E" w14:textId="26C36666" w:rsidR="00B44F1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Остаточно виводиться підсумкова ціна пропозиції конкурсних торгів, надається  розрахунок динамічної договірної ціни та кошторис на українській мові. </w:t>
            </w:r>
            <w:r w:rsidR="00435C1F" w:rsidRPr="0043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договірної ціни надається також на електронному носії, у вигляді файлу кошторису для експорту в інший програмний комплекс  (в програмному забезпечені  останньої  редакції).</w:t>
            </w: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28CEE85" w14:textId="77777777" w:rsidR="004D520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71331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6EC695" w14:textId="77777777" w:rsidR="00225D59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25D59"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договірну ціну, зведений кошторисний розрахунок вартості об’єкта будівництва, локальний кошторис, підсумкову відомість ресурсів, об’єктний кошторис, дефектний акт, розроблені в програмному комплексі АВК або іншому програмному комплексі, який взаємодіє з ним в частині передачі кошторисної документації. Замовник має право відхилити пропозицію учасника у зв’язку з її невідповідністю тендерній документації, якщо за результатами перевірки кошторисної вартості об’єкту встановлено заниження або завищення цін на матеріали, вироби та розцінки на надання послуг, що може призвести до неспроможності надати послуги в повному обсязі</w:t>
            </w:r>
          </w:p>
          <w:p w14:paraId="00D5388D" w14:textId="77777777" w:rsidR="00980C00" w:rsidRDefault="00980C00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C19FAA" w14:textId="77777777" w:rsidR="00980C00" w:rsidRDefault="00980C00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41B0E8" w14:textId="77777777" w:rsidR="00980C00" w:rsidRDefault="00980C00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13F39C" w14:textId="091FB8CB" w:rsidR="00980C00" w:rsidRPr="00980C00" w:rsidRDefault="00980C00" w:rsidP="00980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даний пункт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25D59" w:rsidRPr="004D520A" w14:paraId="762AF601" w14:textId="77777777" w:rsidTr="00C365AB">
        <w:trPr>
          <w:gridAfter w:val="1"/>
          <w:wAfter w:w="8" w:type="dxa"/>
          <w:trHeight w:val="480"/>
        </w:trPr>
        <w:tc>
          <w:tcPr>
            <w:tcW w:w="4820" w:type="dxa"/>
          </w:tcPr>
          <w:p w14:paraId="187E7CF5" w14:textId="77179A90" w:rsidR="00225D59" w:rsidRPr="004D520A" w:rsidRDefault="00225D59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 (було)</w:t>
            </w:r>
          </w:p>
        </w:tc>
        <w:tc>
          <w:tcPr>
            <w:tcW w:w="5109" w:type="dxa"/>
          </w:tcPr>
          <w:p w14:paraId="478C8DDB" w14:textId="2BA12EF3" w:rsidR="00225D59" w:rsidRPr="004D520A" w:rsidRDefault="00225D59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 нова редакція</w:t>
            </w:r>
          </w:p>
        </w:tc>
      </w:tr>
      <w:tr w:rsidR="00225D59" w:rsidRPr="00980C00" w14:paraId="59A853BB" w14:textId="77777777" w:rsidTr="00C365AB">
        <w:trPr>
          <w:gridAfter w:val="1"/>
          <w:wAfter w:w="8" w:type="dxa"/>
          <w:trHeight w:val="480"/>
        </w:trPr>
        <w:tc>
          <w:tcPr>
            <w:tcW w:w="4820" w:type="dxa"/>
          </w:tcPr>
          <w:p w14:paraId="5EA264FD" w14:textId="77777777" w:rsidR="00225D59" w:rsidRDefault="00225D5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ІІІ. Підрозділ 5. </w:t>
            </w:r>
          </w:p>
          <w:p w14:paraId="73B10097" w14:textId="77777777" w:rsidR="00225D59" w:rsidRDefault="001835D2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  <w:p w14:paraId="20D64400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11) </w:t>
            </w: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</w:p>
          <w:p w14:paraId="07D42CF1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5650C8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4CE12F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388380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5.4.</w:t>
            </w:r>
            <w:r w:rsidRPr="001835D2">
              <w:rPr>
                <w:lang w:val="uk-UA"/>
              </w:rPr>
              <w:t xml:space="preserve"> </w:t>
            </w: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Особливостей.</w:t>
            </w:r>
          </w:p>
          <w:p w14:paraId="16A3EE0F" w14:textId="77777777" w:rsidR="00C365AB" w:rsidRDefault="00C365AB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801791" w14:textId="77777777" w:rsidR="00C365AB" w:rsidRDefault="00C365AB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7E79F7" w14:textId="77777777" w:rsidR="00C365AB" w:rsidRDefault="00C365AB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3DAFEC" w14:textId="77777777" w:rsidR="00C365AB" w:rsidRDefault="00C365AB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7A5827" w14:textId="77777777" w:rsidR="00C365AB" w:rsidRDefault="00C365AB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51EF7F" w14:textId="77777777" w:rsidR="00C365AB" w:rsidRDefault="00C365AB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 6.</w:t>
            </w:r>
          </w:p>
          <w:p w14:paraId="64996A07" w14:textId="41B85019" w:rsidR="00C365AB" w:rsidRDefault="00C365AB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6.4. </w:t>
            </w:r>
            <w:r w:rsidRPr="00C3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при розрахунку договірної ціни на виконання робіт за предметом закупівлі з усіма розрахунками, виконаними у відповідності до законодавства та норм надає у складі тендерної пропозиції через електронну систему закупівель: договірну ціну; пояснювальну записку; локальні кошториси; розрахунок вартості експлуатації будівельних машин і механізмів; розрахунок загальновиробничих та адміністративних витрат (виходячи з структури будівельної організації); розрахунок коштів на покриття адміністративних витрат будівельно-монтажних організацій; розрахунок прибутку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9" w:type="dxa"/>
          </w:tcPr>
          <w:p w14:paraId="4C1C58E7" w14:textId="77777777" w:rsidR="00225D59" w:rsidRDefault="00225D5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Розділ ІІІ. Підрозділ 5. </w:t>
            </w:r>
          </w:p>
          <w:p w14:paraId="19A0E275" w14:textId="716F4D01" w:rsidR="00225D59" w:rsidRDefault="00225D59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  <w:p w14:paraId="5216D9E2" w14:textId="77777777" w:rsidR="00225D59" w:rsidRDefault="00225D59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11) учасник процедури закупівлі або кінцевий </w:t>
            </w:r>
            <w:proofErr w:type="spellStart"/>
            <w:r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</w:t>
            </w:r>
          </w:p>
          <w:p w14:paraId="228D15D4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69E0BA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5.4. 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</w:t>
            </w:r>
          </w:p>
          <w:p w14:paraId="50B04DDD" w14:textId="77777777" w:rsidR="00C365AB" w:rsidRDefault="00C365AB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D204CB" w14:textId="77777777" w:rsidR="00C365AB" w:rsidRDefault="00C365AB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 6.</w:t>
            </w:r>
          </w:p>
          <w:p w14:paraId="6C858766" w14:textId="3C303BD1" w:rsidR="00C365AB" w:rsidRDefault="00C365AB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6.4. </w:t>
            </w:r>
            <w:r w:rsidRPr="00C3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при розрахунку договірної ціни на виконання робіт за предметом закупівлі з усіма розрахунками, виконаними у відповідності до законодавства та норм надає у складі тендерної пропозиції через електронну систему закупівель: договірну ціну; пояснювальну записку; локальні кошториси; розрахунок вартості експлуатації будівельних машин і механізмів; розрахунок загальновиробничих та адміністративних витрат (виходячи з структури будівельної організації); розрахунок коштів на покриття адміністративних витрат будівельно-монтажних організацій; розрахунок прибутку, розрахунок заробітної плати.</w:t>
            </w:r>
          </w:p>
        </w:tc>
      </w:tr>
      <w:tr w:rsidR="00390DE9" w:rsidRPr="00980C00" w14:paraId="14FDA946" w14:textId="77777777" w:rsidTr="00C365AB">
        <w:trPr>
          <w:trHeight w:val="480"/>
        </w:trPr>
        <w:tc>
          <w:tcPr>
            <w:tcW w:w="9937" w:type="dxa"/>
            <w:gridSpan w:val="3"/>
          </w:tcPr>
          <w:p w14:paraId="05C1D23A" w14:textId="77777777" w:rsidR="00390DE9" w:rsidRDefault="00390DE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Додаток 1 нова редакція</w:t>
            </w:r>
          </w:p>
          <w:p w14:paraId="6B05365F" w14:textId="6695BA00" w:rsidR="00390DE9" w:rsidRDefault="00390DE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Додано:</w:t>
            </w:r>
          </w:p>
          <w:tbl>
            <w:tblPr>
              <w:tblW w:w="10013" w:type="dxa"/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1984"/>
              <w:gridCol w:w="7461"/>
            </w:tblGrid>
            <w:tr w:rsidR="00390DE9" w:rsidRPr="00E35841" w14:paraId="5A93E4E8" w14:textId="77777777" w:rsidTr="001C4503">
              <w:trPr>
                <w:trHeight w:val="55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411C21" w14:textId="77777777" w:rsidR="00390DE9" w:rsidRPr="000305F8" w:rsidRDefault="00390DE9" w:rsidP="00C365AB">
                  <w:pPr>
                    <w:pStyle w:val="12"/>
                    <w:spacing w:after="0" w:line="240" w:lineRule="auto"/>
                    <w:jc w:val="center"/>
                    <w:rPr>
                      <w:rStyle w:val="1"/>
                      <w:sz w:val="24"/>
                      <w:lang w:val="uk-UA"/>
                    </w:rPr>
                  </w:pPr>
                  <w:r>
                    <w:rPr>
                      <w:rStyle w:val="1"/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E10B9C" w14:textId="77777777" w:rsidR="00390DE9" w:rsidRPr="008A73B5" w:rsidRDefault="00390DE9" w:rsidP="00C365AB">
                  <w:pPr>
                    <w:pStyle w:val="10"/>
                    <w:spacing w:line="240" w:lineRule="auto"/>
                    <w:jc w:val="left"/>
                    <w:rPr>
                      <w:rStyle w:val="1"/>
                      <w:sz w:val="24"/>
                      <w:lang w:val="uk-UA"/>
                    </w:rPr>
                  </w:pPr>
                  <w:r>
                    <w:rPr>
                      <w:rStyle w:val="1"/>
                      <w:sz w:val="24"/>
                      <w:lang w:val="uk-UA"/>
                    </w:rPr>
                    <w:t>Інформація про наявність асфальтобетонного заводу</w:t>
                  </w:r>
                </w:p>
              </w:tc>
              <w:tc>
                <w:tcPr>
                  <w:tcW w:w="7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872F9F" w14:textId="77777777" w:rsidR="00390DE9" w:rsidRPr="008A73B5" w:rsidRDefault="00390DE9" w:rsidP="00C365AB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До документів, копії яких надаються учасником, що підтверджують правовий статус набуття (володіння, користування) асфальтобетонного заводу, відносяться:</w:t>
                  </w:r>
                </w:p>
                <w:p w14:paraId="7A3AB954" w14:textId="77777777" w:rsidR="00390DE9" w:rsidRPr="008A73B5" w:rsidRDefault="00390DE9" w:rsidP="00C365AB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документи, що підтверджують право власності учасника на АБЗ, та бухгалтерську довідку про знаходження АБЗ на балансі учасника, підписану керівником та/або головним бухгалтером (бухгалтером), завірені належним чином учасником;</w:t>
                  </w:r>
                </w:p>
                <w:p w14:paraId="39E4D22A" w14:textId="77777777" w:rsidR="00390DE9" w:rsidRPr="008A73B5" w:rsidRDefault="00390DE9" w:rsidP="00C365AB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договори оренди/суборенди, лізингу/</w:t>
                  </w:r>
                  <w:proofErr w:type="spellStart"/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сублізингу</w:t>
                  </w:r>
                  <w:proofErr w:type="spellEnd"/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 xml:space="preserve"> АБЗ та інші правочини, передбачені чинним законодавством України (у разі, якщо АБЗ належить учаснику не на праві власності), завірені належним чином учасником;</w:t>
                  </w:r>
                </w:p>
                <w:p w14:paraId="1A5F5879" w14:textId="77777777" w:rsidR="00390DE9" w:rsidRPr="008A73B5" w:rsidRDefault="00390DE9" w:rsidP="00C365AB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 xml:space="preserve">акт приймання-передачі АБЗ або інші документи, передбачені умовами договорів, зазначених у цьому підпункті, або чинним законодавством України, що підтверджують передачу учаснику АБЗ, у тому числі передбачені умовами договорів суборенди, </w:t>
                  </w:r>
                  <w:proofErr w:type="spellStart"/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сублізингу</w:t>
                  </w:r>
                  <w:proofErr w:type="spellEnd"/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 xml:space="preserve"> та інших правочинів, стороною якого є третя особа, яка не є власником АБЗ, завірені належним чином учасником;</w:t>
                  </w:r>
                </w:p>
                <w:p w14:paraId="56D1CACF" w14:textId="77777777" w:rsidR="00390DE9" w:rsidRDefault="00390DE9" w:rsidP="00C365AB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договір поставки асфальтобетону та/або щебенево-мастикових асфальтобетонних сумішей (далі - ЩМАС) та/або договір надання послуг з виготовлення асфальтобетону та/або ЩМАС або інші правочини, у яких зазначені марка, тип, кількість та обсяги поставки/відвантаження асфальтобетону та/або ЩМАС.</w:t>
                  </w:r>
                </w:p>
                <w:p w14:paraId="495E5186" w14:textId="77777777" w:rsidR="00390DE9" w:rsidRPr="008A73B5" w:rsidRDefault="00390DE9" w:rsidP="00C365AB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</w:p>
                <w:p w14:paraId="426A51DA" w14:textId="77777777" w:rsidR="00390DE9" w:rsidRPr="008A73B5" w:rsidRDefault="00390DE9" w:rsidP="00C365AB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 xml:space="preserve">Договори та документи щодо інших правочинів, передбачених чинним законодавством України, надані у якості підтвердження наявності АБЗ, </w:t>
                  </w: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lastRenderedPageBreak/>
                    <w:t>мають бути чинні на день подання тендерної пропозиції. У разі якщо їх строк дії менше строку виконання робіт, договори повинні містити умови про можливість пролонгації на строк виконання робіт, або Учасник надає оригінал листа-підтвердження орендодавця, лізингодавця або іншої особи, яка зазначена у відповідному договорі, щодо не заперечення використання АБЗ для виконання робіт Учасником за предметом закупівлі на весь строк виконання робіт.</w:t>
                  </w:r>
                </w:p>
                <w:p w14:paraId="03D2FFAD" w14:textId="77777777" w:rsidR="00390DE9" w:rsidRDefault="00390DE9" w:rsidP="00C365AB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</w:p>
                <w:p w14:paraId="50A73D67" w14:textId="77777777" w:rsidR="00390DE9" w:rsidRDefault="00390DE9" w:rsidP="00C365AB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Асфальтобетонний(ні) завод(и) (виробництво) повинен бути атестований на виготовлення асфальтобетонних сумішей та/або щебенево-мастикових асфальтобетонних сумішей відповідно ДСТУ Б В.2.7-119:2011, затверджені наказом Міністерства регіонального розвитку, будівництва та житлово-комунального господарства України від 30.12.2011 № 416, та ДСТУ Б В.2.7-127:2015, затверджені наказом Міністерства регіонального розвитку, будівництва та житлово-комунального господарства України від 10.08.2015 № 191, про що Учасником додатково надаються підтверджуючі документи (посвідчена копія атестату виробництва).</w:t>
                  </w:r>
                </w:p>
                <w:p w14:paraId="3AEB830B" w14:textId="77777777" w:rsidR="00390DE9" w:rsidRDefault="00390DE9" w:rsidP="00C365AB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72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591"/>
                    <w:gridCol w:w="992"/>
                    <w:gridCol w:w="993"/>
                    <w:gridCol w:w="1842"/>
                    <w:gridCol w:w="1276"/>
                  </w:tblGrid>
                  <w:tr w:rsidR="00390DE9" w:rsidRPr="00640570" w14:paraId="2F103C75" w14:textId="77777777" w:rsidTr="001C4503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0F02AD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14:paraId="72E6A433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з/п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363463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Місцезнаходження</w:t>
                        </w:r>
                        <w:proofErr w:type="spellEnd"/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АБЗ (адреса)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B84772E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Тип/марка/модель АБЗ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DD08EA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Потужність</w:t>
                        </w:r>
                        <w:proofErr w:type="spellEnd"/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АБЗ, т/год.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ABAD62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Вид асфальтобетону та/</w:t>
                        </w:r>
                        <w:proofErr w:type="spellStart"/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або</w:t>
                        </w:r>
                        <w:proofErr w:type="spellEnd"/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ЩМАС </w:t>
                        </w:r>
                      </w:p>
                      <w:p w14:paraId="4227612B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(по типах та марках)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C77CEB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Зазначення</w:t>
                        </w:r>
                        <w:proofErr w:type="spellEnd"/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права </w:t>
                        </w:r>
                        <w:proofErr w:type="spellStart"/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власності</w:t>
                        </w:r>
                        <w:proofErr w:type="spellEnd"/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</w:tr>
                  <w:tr w:rsidR="00390DE9" w:rsidRPr="00640570" w14:paraId="34CEE9C5" w14:textId="77777777" w:rsidTr="001C4503">
                    <w:trPr>
                      <w:trHeight w:val="198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EC1C5D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8D6AE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20A235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FBB2A8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01A3FC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FCC2EE" w14:textId="77777777" w:rsidR="00390DE9" w:rsidRPr="00640570" w:rsidRDefault="00390DE9" w:rsidP="00C365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EB0515" w14:textId="77777777" w:rsidR="00390DE9" w:rsidRDefault="00390DE9" w:rsidP="00C365AB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640570">
                    <w:rPr>
                      <w:sz w:val="24"/>
                      <w:szCs w:val="24"/>
                    </w:rPr>
                    <w:t xml:space="preserve">*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якщо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Учасник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є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власником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зазначається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володіння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", в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інших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випадках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зазначається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право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договір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оренди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лізингу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або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інший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спосіб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визначений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законодавством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України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або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залучення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умовах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договору поставки,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послуг</w:t>
                  </w:r>
                  <w:proofErr w:type="spellEnd"/>
                  <w:r w:rsidRPr="006405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0570">
                    <w:rPr>
                      <w:sz w:val="24"/>
                      <w:szCs w:val="24"/>
                    </w:rPr>
                    <w:t>тощо</w:t>
                  </w:r>
                  <w:proofErr w:type="spellEnd"/>
                </w:p>
                <w:p w14:paraId="532EBA4A" w14:textId="77777777" w:rsidR="00390DE9" w:rsidRDefault="00390DE9" w:rsidP="00C365AB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</w:p>
                <w:p w14:paraId="42AD838C" w14:textId="77777777" w:rsidR="00390DE9" w:rsidRPr="00390DE9" w:rsidRDefault="00390DE9" w:rsidP="00C365AB">
                  <w:pPr>
                    <w:shd w:val="clear" w:color="auto" w:fill="FFFFFF"/>
                    <w:spacing w:after="0" w:line="240" w:lineRule="auto"/>
                    <w:ind w:firstLine="3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В підтвердження дотримання Учасником даних вимог щодо часу транспортування асфальтобетонної суміші Учасник надає транспортну схему за формою наведеною в Таблиці </w:t>
                  </w:r>
                </w:p>
                <w:p w14:paraId="159C6EEC" w14:textId="77777777" w:rsidR="00390DE9" w:rsidRPr="00390DE9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 w:eastAsia="uk-UA"/>
                    </w:rPr>
                  </w:pPr>
                  <w:r w:rsidRPr="00390DE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 w:eastAsia="uk-UA"/>
                    </w:rPr>
                    <w:t xml:space="preserve">Таблиця </w:t>
                  </w:r>
                </w:p>
                <w:p w14:paraId="2D581E24" w14:textId="77777777" w:rsidR="00390DE9" w:rsidRPr="00390DE9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 w:eastAsia="uk-UA"/>
                    </w:rPr>
                  </w:pPr>
                </w:p>
                <w:p w14:paraId="28890CB8" w14:textId="77777777" w:rsidR="00390DE9" w:rsidRPr="00390DE9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uk-UA" w:eastAsia="uk-UA"/>
                    </w:rPr>
                  </w:pPr>
                  <w:r w:rsidRPr="00390D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Транспортна схема</w:t>
                  </w:r>
                </w:p>
                <w:tbl>
                  <w:tblPr>
                    <w:tblW w:w="70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052"/>
                    <w:gridCol w:w="993"/>
                    <w:gridCol w:w="709"/>
                    <w:gridCol w:w="851"/>
                    <w:gridCol w:w="849"/>
                    <w:gridCol w:w="992"/>
                    <w:gridCol w:w="1203"/>
                  </w:tblGrid>
                  <w:tr w:rsidR="00390DE9" w:rsidRPr="0020497A" w14:paraId="189390D7" w14:textId="77777777" w:rsidTr="001C4503">
                    <w:trPr>
                      <w:trHeight w:val="645"/>
                    </w:trPr>
                    <w:tc>
                      <w:tcPr>
                        <w:tcW w:w="392" w:type="dxa"/>
                        <w:vMerge w:val="restart"/>
                        <w:shd w:val="clear" w:color="auto" w:fill="auto"/>
                      </w:tcPr>
                      <w:p w14:paraId="2CB9A6D1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№ п/п</w:t>
                        </w:r>
                      </w:p>
                    </w:tc>
                    <w:tc>
                      <w:tcPr>
                        <w:tcW w:w="1052" w:type="dxa"/>
                        <w:vMerge w:val="restart"/>
                        <w:shd w:val="clear" w:color="auto" w:fill="auto"/>
                      </w:tcPr>
                      <w:p w14:paraId="69416DB3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Найменування (асфальтобетонна суміш вид, тип, марка)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shd w:val="clear" w:color="auto" w:fill="auto"/>
                      </w:tcPr>
                      <w:p w14:paraId="0E1A5AB3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Виробник/    Постачальник </w:t>
                        </w:r>
                      </w:p>
                      <w:p w14:paraId="2416435F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  <w:p w14:paraId="05234BC9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perscript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Місце виробництва/ постачання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14:paraId="361F214E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Місце доставки</w:t>
                        </w:r>
                      </w:p>
                    </w:tc>
                    <w:tc>
                      <w:tcPr>
                        <w:tcW w:w="1700" w:type="dxa"/>
                        <w:gridSpan w:val="2"/>
                      </w:tcPr>
                      <w:p w14:paraId="634D8B85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Відстань перевезення, км</w:t>
                        </w:r>
                      </w:p>
                      <w:p w14:paraId="30EE5385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швидкість руху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perscript"/>
                            <w:lang w:val="uk-UA" w:eastAsia="uk-UA"/>
                          </w:rPr>
                          <w:t>1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, км/год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14:paraId="4206E5DD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Загальна тривалість транспортування, годин, хвилин</w:t>
                        </w:r>
                      </w:p>
                    </w:tc>
                    <w:tc>
                      <w:tcPr>
                        <w:tcW w:w="1203" w:type="dxa"/>
                        <w:vMerge w:val="restart"/>
                      </w:tcPr>
                      <w:p w14:paraId="1DAD333E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Перелік автомобільних доріг  (вулиць) маршруту транспортування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perscript"/>
                            <w:lang w:val="uk-UA" w:eastAsia="uk-UA"/>
                          </w:rPr>
                          <w:t>2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</w:t>
                        </w:r>
                      </w:p>
                    </w:tc>
                  </w:tr>
                  <w:tr w:rsidR="00390DE9" w:rsidRPr="0020497A" w14:paraId="58DB4468" w14:textId="77777777" w:rsidTr="001C4503">
                    <w:trPr>
                      <w:cantSplit/>
                      <w:trHeight w:val="1134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</w:tcPr>
                      <w:p w14:paraId="70284E3C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052" w:type="dxa"/>
                        <w:vMerge/>
                        <w:shd w:val="clear" w:color="auto" w:fill="auto"/>
                      </w:tcPr>
                      <w:p w14:paraId="554E5499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shd w:val="clear" w:color="auto" w:fill="auto"/>
                      </w:tcPr>
                      <w:p w14:paraId="391054B7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14:paraId="428EAFDF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76FDCB1C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в населеному пункті 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0165EDDB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поза населеним пунктом</w:t>
                        </w:r>
                      </w:p>
                    </w:tc>
                    <w:tc>
                      <w:tcPr>
                        <w:tcW w:w="992" w:type="dxa"/>
                        <w:vMerge/>
                      </w:tcPr>
                      <w:p w14:paraId="3E62A7A0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203" w:type="dxa"/>
                        <w:vMerge/>
                      </w:tcPr>
                      <w:p w14:paraId="69C58063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</w:tr>
                  <w:tr w:rsidR="00390DE9" w:rsidRPr="0020497A" w14:paraId="00FDA301" w14:textId="77777777" w:rsidTr="001C4503">
                    <w:trPr>
                      <w:cantSplit/>
                      <w:trHeight w:val="666"/>
                    </w:trPr>
                    <w:tc>
                      <w:tcPr>
                        <w:tcW w:w="392" w:type="dxa"/>
                        <w:shd w:val="clear" w:color="auto" w:fill="auto"/>
                      </w:tcPr>
                      <w:p w14:paraId="6EDC3FF1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052" w:type="dxa"/>
                        <w:shd w:val="clear" w:color="auto" w:fill="auto"/>
                      </w:tcPr>
                      <w:p w14:paraId="128DEB8D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auto"/>
                      </w:tcPr>
                      <w:p w14:paraId="69924262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B09925A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29405DFD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25627DD7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4E826D28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203" w:type="dxa"/>
                      </w:tcPr>
                      <w:p w14:paraId="7CA27F61" w14:textId="77777777" w:rsidR="00390DE9" w:rsidRPr="002049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1D630D18" w14:textId="77777777" w:rsidR="00390DE9" w:rsidRDefault="00390DE9" w:rsidP="00C365AB">
                  <w:pPr>
                    <w:tabs>
                      <w:tab w:val="left" w:pos="1080"/>
                    </w:tabs>
                    <w:spacing w:after="0"/>
                    <w:ind w:right="128"/>
                    <w:jc w:val="both"/>
                    <w:rPr>
                      <w:sz w:val="20"/>
                      <w:szCs w:val="20"/>
                      <w:vertAlign w:val="superscript"/>
                      <w:lang w:val="uk-UA" w:eastAsia="uk-UA"/>
                    </w:rPr>
                  </w:pPr>
                </w:p>
                <w:p w14:paraId="7BFA203E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uk-UA" w:eastAsia="uk-UA"/>
                    </w:rPr>
                    <w:t>1</w:t>
                  </w:r>
                  <w:r w:rsidRPr="00D9137A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 Середня технічна швидкість перевезення будівельних вантажів (асфальтобетон, </w:t>
                  </w:r>
                  <w:proofErr w:type="spellStart"/>
                  <w:r w:rsidRPr="00D9137A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>цементобетон</w:t>
                  </w:r>
                  <w:proofErr w:type="spellEnd"/>
                  <w:r w:rsidRPr="00D9137A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, чорний щебінь) </w:t>
                  </w:r>
                </w:p>
                <w:p w14:paraId="204B19ED" w14:textId="211983F2" w:rsidR="00390DE9" w:rsidRDefault="00390DE9" w:rsidP="00C365AB">
                  <w:pPr>
                    <w:tabs>
                      <w:tab w:val="left" w:pos="1080"/>
                    </w:tabs>
                    <w:spacing w:after="0"/>
                    <w:ind w:right="12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uk-UA" w:eastAsia="uk-UA"/>
                    </w:rPr>
                    <w:lastRenderedPageBreak/>
                    <w:t xml:space="preserve">2 </w:t>
                  </w:r>
                  <w:r w:rsidRPr="00D9137A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>Перелік автомобільних доріг (вулиць) маршруту транспортування вказувати із зазначенням довжини відрізку маршруту в км, що проходить по ним (з точністю до 1км).</w:t>
                  </w:r>
                </w:p>
                <w:p w14:paraId="6B8FB0D6" w14:textId="77777777" w:rsidR="00C365AB" w:rsidRPr="00D9137A" w:rsidRDefault="00C365AB" w:rsidP="00C365AB">
                  <w:pPr>
                    <w:tabs>
                      <w:tab w:val="left" w:pos="1080"/>
                    </w:tabs>
                    <w:spacing w:after="0"/>
                    <w:ind w:right="12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</w:p>
                <w:p w14:paraId="7C2E4CCB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Нижче під Транспортною схемою Учасник зазначає:</w:t>
                  </w:r>
                </w:p>
                <w:p w14:paraId="174514B0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«Маршрут транспортування асфальтобетонної суміші проходить по автомобільним дорогам з капітальним та удосконаленим полегшеним типом дорожнього одягу  (асфальтобетон, </w:t>
                  </w:r>
                  <w:proofErr w:type="spellStart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цементобетон</w:t>
                  </w:r>
                  <w:proofErr w:type="spellEnd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, чорний щебінь) поза межами населеного пункту - ___________ км, з перехідним типом дорожнього одягу пункту - ___________ км, та в межах населеного пункту – _________ км, то згідно розрахунку час транспортування асфальтобетонної суміші до місця виконання робіт становить: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4570"/>
                  </w:tblGrid>
                  <w:tr w:rsidR="00390DE9" w:rsidRPr="00980C00" w14:paraId="48F8E7B5" w14:textId="77777777" w:rsidTr="001C4503">
                    <w:trPr>
                      <w:trHeight w:val="379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5037710A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S </w:t>
                        </w:r>
                        <w:proofErr w:type="spellStart"/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куптдо</w:t>
                        </w:r>
                        <w:proofErr w:type="spellEnd"/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 (________ км)</w:t>
                        </w:r>
                      </w:p>
                    </w:tc>
                    <w:tc>
                      <w:tcPr>
                        <w:tcW w:w="4570" w:type="dxa"/>
                        <w:vMerge w:val="restart"/>
                        <w:shd w:val="clear" w:color="auto" w:fill="auto"/>
                        <w:vAlign w:val="center"/>
                      </w:tcPr>
                      <w:p w14:paraId="79F862F2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>=   ____ год. ____ хв.</w:t>
                        </w:r>
                      </w:p>
                    </w:tc>
                  </w:tr>
                  <w:tr w:rsidR="00390DE9" w:rsidRPr="00980C00" w14:paraId="3FB98608" w14:textId="77777777" w:rsidTr="001C4503"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0FDDE618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4294967293" distB="4294967293" distL="114300" distR="114300" simplePos="0" relativeHeight="251659264" behindDoc="0" locked="0" layoutInCell="1" allowOverlap="1" wp14:anchorId="063709C9" wp14:editId="087F061E">
                                  <wp:simplePos x="0" y="0"/>
                                  <wp:positionH relativeFrom="column">
                                    <wp:posOffset>-63500</wp:posOffset>
                                  </wp:positionH>
                                  <wp:positionV relativeFrom="paragraph">
                                    <wp:posOffset>20954</wp:posOffset>
                                  </wp:positionV>
                                  <wp:extent cx="1183005" cy="0"/>
                                  <wp:effectExtent l="0" t="0" r="0" b="0"/>
                                  <wp:wrapNone/>
                                  <wp:docPr id="26" name="Прямая соединительная линия 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 flipV="1">
                                            <a:off x="0" y="0"/>
                                            <a:ext cx="11830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0F01525D" id="Прямая соединительная линия 26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1.65pt" to="8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" strokecolor="windowText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proofErr w:type="spellStart"/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V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пнп</w:t>
                        </w:r>
                        <w:proofErr w:type="spellEnd"/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(49 км/год)</w:t>
                        </w:r>
                      </w:p>
                    </w:tc>
                    <w:tc>
                      <w:tcPr>
                        <w:tcW w:w="4570" w:type="dxa"/>
                        <w:vMerge/>
                        <w:shd w:val="clear" w:color="auto" w:fill="auto"/>
                      </w:tcPr>
                      <w:p w14:paraId="4ED0EA4E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4B57B6A0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uk-UA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4570"/>
                  </w:tblGrid>
                  <w:tr w:rsidR="00390DE9" w:rsidRPr="00980C00" w14:paraId="02D0DE55" w14:textId="77777777" w:rsidTr="001C4503">
                    <w:trPr>
                      <w:trHeight w:val="379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7F05EA2B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S </w:t>
                        </w:r>
                        <w:proofErr w:type="spellStart"/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птдо</w:t>
                        </w:r>
                        <w:proofErr w:type="spellEnd"/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 (________ км)</w:t>
                        </w:r>
                      </w:p>
                    </w:tc>
                    <w:tc>
                      <w:tcPr>
                        <w:tcW w:w="4570" w:type="dxa"/>
                        <w:vMerge w:val="restart"/>
                        <w:shd w:val="clear" w:color="auto" w:fill="auto"/>
                        <w:vAlign w:val="center"/>
                      </w:tcPr>
                      <w:p w14:paraId="20F56FDB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>=   ____ год. ____ хв.</w:t>
                        </w:r>
                      </w:p>
                    </w:tc>
                  </w:tr>
                  <w:tr w:rsidR="00390DE9" w:rsidRPr="00980C00" w14:paraId="1D7DE3D0" w14:textId="77777777" w:rsidTr="001C4503">
                    <w:trPr>
                      <w:trHeight w:val="264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21EE1815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4294967293" distB="4294967293" distL="114300" distR="114300" simplePos="0" relativeHeight="251660288" behindDoc="0" locked="0" layoutInCell="1" allowOverlap="1" wp14:anchorId="0C1A52D1" wp14:editId="68E7CBF4">
                                  <wp:simplePos x="0" y="0"/>
                                  <wp:positionH relativeFrom="column">
                                    <wp:posOffset>-63500</wp:posOffset>
                                  </wp:positionH>
                                  <wp:positionV relativeFrom="paragraph">
                                    <wp:posOffset>20954</wp:posOffset>
                                  </wp:positionV>
                                  <wp:extent cx="1183005" cy="0"/>
                                  <wp:effectExtent l="0" t="0" r="0" b="0"/>
                                  <wp:wrapNone/>
                                  <wp:docPr id="6" name="Прямая соединительная линия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 flipV="1">
                                            <a:off x="0" y="0"/>
                                            <a:ext cx="11830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A45E1EA" id="Прямая соединительная линия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1.65pt" to="8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" strokecolor="windowText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V </w:t>
                        </w:r>
                        <w:proofErr w:type="spellStart"/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тп</w:t>
                        </w:r>
                        <w:proofErr w:type="spellEnd"/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(37 км/год)</w:t>
                        </w:r>
                      </w:p>
                    </w:tc>
                    <w:tc>
                      <w:tcPr>
                        <w:tcW w:w="4570" w:type="dxa"/>
                        <w:vMerge/>
                        <w:shd w:val="clear" w:color="auto" w:fill="auto"/>
                      </w:tcPr>
                      <w:p w14:paraId="461E8FC2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01997058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uk-UA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4570"/>
                  </w:tblGrid>
                  <w:tr w:rsidR="00390DE9" w:rsidRPr="00980C00" w14:paraId="1143BC82" w14:textId="77777777" w:rsidTr="001C4503">
                    <w:trPr>
                      <w:trHeight w:val="407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767781E9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4294967293" distB="4294967293" distL="114300" distR="114300" simplePos="0" relativeHeight="251661312" behindDoc="0" locked="0" layoutInCell="1" allowOverlap="1" wp14:anchorId="1F883A0B" wp14:editId="482768C6">
                                  <wp:simplePos x="0" y="0"/>
                                  <wp:positionH relativeFrom="column">
                                    <wp:posOffset>-13335</wp:posOffset>
                                  </wp:positionH>
                                  <wp:positionV relativeFrom="paragraph">
                                    <wp:posOffset>235584</wp:posOffset>
                                  </wp:positionV>
                                  <wp:extent cx="1199515" cy="0"/>
                                  <wp:effectExtent l="0" t="0" r="0" b="0"/>
                                  <wp:wrapNone/>
                                  <wp:docPr id="8" name="Прямая соединительная линия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 flipV="1">
                                            <a:off x="0" y="0"/>
                                            <a:ext cx="11995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94DAD25" id="Прямая соединительная линия 8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.05pt,18.55pt" to="9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" strokecolor="windowText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S </w:t>
                        </w:r>
                        <w:proofErr w:type="spellStart"/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птдо</w:t>
                        </w:r>
                        <w:proofErr w:type="spellEnd"/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 (_____ км)</w:t>
                        </w:r>
                      </w:p>
                    </w:tc>
                    <w:tc>
                      <w:tcPr>
                        <w:tcW w:w="4570" w:type="dxa"/>
                        <w:vMerge w:val="restart"/>
                        <w:shd w:val="clear" w:color="auto" w:fill="auto"/>
                        <w:vAlign w:val="center"/>
                      </w:tcPr>
                      <w:p w14:paraId="61BFAC59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>=   ____ год. ____ хв.</w:t>
                        </w:r>
                      </w:p>
                    </w:tc>
                  </w:tr>
                  <w:tr w:rsidR="00390DE9" w:rsidRPr="00980C00" w14:paraId="524244BD" w14:textId="77777777" w:rsidTr="001C4503"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6EA38976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V 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і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(28 км/год)</w:t>
                        </w:r>
                      </w:p>
                    </w:tc>
                    <w:tc>
                      <w:tcPr>
                        <w:tcW w:w="4570" w:type="dxa"/>
                        <w:vMerge/>
                        <w:shd w:val="clear" w:color="auto" w:fill="auto"/>
                      </w:tcPr>
                      <w:p w14:paraId="12DD6397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5353D8EE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uk-UA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4570"/>
                  </w:tblGrid>
                  <w:tr w:rsidR="00390DE9" w:rsidRPr="00980C00" w14:paraId="3A98F99F" w14:textId="77777777" w:rsidTr="001C4503">
                    <w:trPr>
                      <w:trHeight w:val="394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52B60D3C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4294967293" distB="4294967293" distL="114300" distR="114300" simplePos="0" relativeHeight="251662336" behindDoc="0" locked="0" layoutInCell="1" allowOverlap="1" wp14:anchorId="2AEB5749" wp14:editId="21805FD1">
                                  <wp:simplePos x="0" y="0"/>
                                  <wp:positionH relativeFrom="column">
                                    <wp:posOffset>-13335</wp:posOffset>
                                  </wp:positionH>
                                  <wp:positionV relativeFrom="paragraph">
                                    <wp:posOffset>235584</wp:posOffset>
                                  </wp:positionV>
                                  <wp:extent cx="1199515" cy="0"/>
                                  <wp:effectExtent l="0" t="0" r="0" b="0"/>
                                  <wp:wrapNone/>
                                  <wp:docPr id="9" name="Прямая соединительная линия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 flipV="1">
                                            <a:off x="0" y="0"/>
                                            <a:ext cx="11995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7619C56" id="Прямая соединительная линия 9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.05pt,18.55pt" to="9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" strokecolor="windowText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S </w:t>
                        </w:r>
                        <w:proofErr w:type="spellStart"/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мнп</w:t>
                        </w:r>
                        <w:proofErr w:type="spellEnd"/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 (_____ км)</w:t>
                        </w:r>
                      </w:p>
                    </w:tc>
                    <w:tc>
                      <w:tcPr>
                        <w:tcW w:w="4570" w:type="dxa"/>
                        <w:vMerge w:val="restart"/>
                        <w:shd w:val="clear" w:color="auto" w:fill="auto"/>
                        <w:vAlign w:val="center"/>
                      </w:tcPr>
                      <w:p w14:paraId="2D268A6B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>=   ____ год. ____ хв.</w:t>
                        </w:r>
                      </w:p>
                    </w:tc>
                  </w:tr>
                  <w:tr w:rsidR="00390DE9" w:rsidRPr="00980C00" w14:paraId="08BC2526" w14:textId="77777777" w:rsidTr="001C4503"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19AD1EEF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V </w:t>
                        </w:r>
                        <w:proofErr w:type="spellStart"/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нп</w:t>
                        </w:r>
                        <w:proofErr w:type="spellEnd"/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(25 км/год)</w:t>
                        </w:r>
                      </w:p>
                    </w:tc>
                    <w:tc>
                      <w:tcPr>
                        <w:tcW w:w="4570" w:type="dxa"/>
                        <w:vMerge/>
                        <w:shd w:val="clear" w:color="auto" w:fill="auto"/>
                      </w:tcPr>
                      <w:p w14:paraId="218865F5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34E9DEAC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uk-UA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4570"/>
                  </w:tblGrid>
                  <w:tr w:rsidR="00390DE9" w:rsidRPr="00980C00" w14:paraId="7CE1C1B6" w14:textId="77777777" w:rsidTr="001C4503">
                    <w:trPr>
                      <w:trHeight w:val="393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0B104B59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4294967293" distB="4294967293" distL="114300" distR="114300" simplePos="0" relativeHeight="251663360" behindDoc="0" locked="0" layoutInCell="1" allowOverlap="1" wp14:anchorId="54E895AA" wp14:editId="79C27232">
                                  <wp:simplePos x="0" y="0"/>
                                  <wp:positionH relativeFrom="column">
                                    <wp:posOffset>8255</wp:posOffset>
                                  </wp:positionH>
                                  <wp:positionV relativeFrom="paragraph">
                                    <wp:posOffset>205104</wp:posOffset>
                                  </wp:positionV>
                                  <wp:extent cx="1199515" cy="0"/>
                                  <wp:effectExtent l="0" t="0" r="0" b="0"/>
                                  <wp:wrapNone/>
                                  <wp:docPr id="12" name="Прямая соединительная линия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 flipV="1">
                                            <a:off x="0" y="0"/>
                                            <a:ext cx="11995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D295B4A" id="Прямая соединительная линия 12" o:spid="_x0000_s1026" style="position:absolute;flip:y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65pt,16.15pt" to="95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" strokecolor="windowText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S </w:t>
                        </w:r>
                        <w:proofErr w:type="spellStart"/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мнп</w:t>
                        </w:r>
                        <w:proofErr w:type="spellEnd"/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 (_____ км)</w:t>
                        </w:r>
                      </w:p>
                    </w:tc>
                    <w:tc>
                      <w:tcPr>
                        <w:tcW w:w="4570" w:type="dxa"/>
                        <w:vMerge w:val="restart"/>
                        <w:shd w:val="clear" w:color="auto" w:fill="auto"/>
                        <w:vAlign w:val="center"/>
                      </w:tcPr>
                      <w:p w14:paraId="0B27472A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>=   ____ год. ____ хв.</w:t>
                        </w:r>
                      </w:p>
                    </w:tc>
                  </w:tr>
                  <w:tr w:rsidR="00390DE9" w:rsidRPr="00980C00" w14:paraId="61426685" w14:textId="77777777" w:rsidTr="001C4503"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7BD170CE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V </w:t>
                        </w:r>
                        <w:proofErr w:type="spellStart"/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нпб</w:t>
                        </w:r>
                        <w:proofErr w:type="spellEnd"/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(24 км/год)</w:t>
                        </w:r>
                      </w:p>
                    </w:tc>
                    <w:tc>
                      <w:tcPr>
                        <w:tcW w:w="4570" w:type="dxa"/>
                        <w:vMerge/>
                        <w:shd w:val="clear" w:color="auto" w:fill="auto"/>
                      </w:tcPr>
                      <w:p w14:paraId="2CE17B42" w14:textId="77777777" w:rsidR="00390DE9" w:rsidRPr="00D9137A" w:rsidRDefault="00390DE9" w:rsidP="00C365AB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4B63EA76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РАЗОМ: </w:t>
                  </w:r>
                  <w:r w:rsidRPr="00D913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______ год _______ хв.</w:t>
                  </w:r>
                </w:p>
                <w:p w14:paraId="53268B28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uk-UA"/>
                    </w:rPr>
                  </w:pPr>
                </w:p>
                <w:p w14:paraId="08B552A7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де: </w:t>
                  </w:r>
                </w:p>
                <w:p w14:paraId="2F309155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S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куптдо</w:t>
                  </w:r>
                  <w:proofErr w:type="spellEnd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відстань перевезення по капітальному та удосконаленому полегшеному типу дорожнього одягу, км;</w:t>
                  </w:r>
                </w:p>
                <w:p w14:paraId="75443A59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S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птдо</w:t>
                  </w:r>
                  <w:proofErr w:type="spellEnd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відстань перевезення по перехідному типу дорожнього одягу, км;</w:t>
                  </w:r>
                </w:p>
                <w:p w14:paraId="557F6BAE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S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мнп</w:t>
                  </w:r>
                  <w:proofErr w:type="spellEnd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відстань перевезення в межах населеного пункту, км;</w:t>
                  </w:r>
                </w:p>
                <w:p w14:paraId="1452DC16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V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пнп</w:t>
                  </w:r>
                  <w:proofErr w:type="spellEnd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технічна швидкість поза межами населеного пункту на дорогах з удосконаленим покриттям, км/год.</w:t>
                  </w:r>
                </w:p>
                <w:p w14:paraId="49D204B8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V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тп</w:t>
                  </w:r>
                  <w:proofErr w:type="spellEnd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технічна швидкість поза межами населеного пункту на дорогах з твердим покриттям, км/год.</w:t>
                  </w:r>
                </w:p>
                <w:p w14:paraId="190BE0AF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V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і</w:t>
                  </w:r>
                  <w:proofErr w:type="spellEnd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технічна швидкість поза межами населеного пункту на інших дорогах, км/год.</w:t>
                  </w:r>
                </w:p>
                <w:p w14:paraId="77B76B3E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V </w:t>
                  </w:r>
                  <w:proofErr w:type="spellStart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нп</w:t>
                  </w:r>
                  <w:proofErr w:type="spellEnd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технічна швидкість в межах населеного пункту при вантажопідйомності до 10 т, км/год;</w:t>
                  </w:r>
                </w:p>
                <w:p w14:paraId="529A2946" w14:textId="77777777" w:rsidR="00390DE9" w:rsidRPr="00D9137A" w:rsidRDefault="00390DE9" w:rsidP="00C365AB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V </w:t>
                  </w:r>
                  <w:proofErr w:type="spellStart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нпб</w:t>
                  </w:r>
                  <w:proofErr w:type="spellEnd"/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технічна швидкість в межах населеного пункту при вантажопідйомності більше 10 т, км/год.</w:t>
                  </w:r>
                </w:p>
                <w:p w14:paraId="2FD00671" w14:textId="2C80D297" w:rsidR="00390DE9" w:rsidRPr="00E35841" w:rsidRDefault="00390DE9" w:rsidP="00C365AB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D9137A">
                    <w:rPr>
                      <w:sz w:val="24"/>
                      <w:szCs w:val="24"/>
                      <w:lang w:val="uk-UA" w:eastAsia="uk-UA"/>
                    </w:rPr>
                    <w:t>Середня відстань перевезення асфальтобетонної суміші становить_____ км»</w:t>
                  </w:r>
                </w:p>
              </w:tc>
            </w:tr>
            <w:tr w:rsidR="00390DE9" w:rsidRPr="00980C00" w14:paraId="28FE84F5" w14:textId="77777777" w:rsidTr="001C4503">
              <w:trPr>
                <w:trHeight w:val="55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C17989" w14:textId="77777777" w:rsidR="00390DE9" w:rsidRDefault="00390DE9" w:rsidP="00390DE9">
                  <w:pPr>
                    <w:pStyle w:val="12"/>
                    <w:spacing w:after="0" w:line="240" w:lineRule="auto"/>
                    <w:jc w:val="center"/>
                    <w:rPr>
                      <w:rStyle w:val="1"/>
                      <w:sz w:val="24"/>
                      <w:lang w:val="uk-UA"/>
                    </w:rPr>
                  </w:pPr>
                  <w:r>
                    <w:rPr>
                      <w:rStyle w:val="1"/>
                      <w:sz w:val="24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607421" w14:textId="77777777" w:rsidR="00390DE9" w:rsidRPr="00D9137A" w:rsidRDefault="00390DE9" w:rsidP="00390DE9">
                  <w:pPr>
                    <w:pStyle w:val="10"/>
                    <w:spacing w:line="240" w:lineRule="auto"/>
                    <w:jc w:val="left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proofErr w:type="spellStart"/>
                  <w:r w:rsidRPr="00D9137A">
                    <w:rPr>
                      <w:iCs/>
                      <w:sz w:val="24"/>
                      <w:szCs w:val="24"/>
                    </w:rPr>
                    <w:t>Інформація</w:t>
                  </w:r>
                  <w:proofErr w:type="spellEnd"/>
                  <w:r w:rsidRPr="00D9137A">
                    <w:rPr>
                      <w:iCs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D9137A">
                    <w:rPr>
                      <w:iCs/>
                      <w:sz w:val="24"/>
                      <w:szCs w:val="24"/>
                    </w:rPr>
                    <w:t>наявність</w:t>
                  </w:r>
                  <w:proofErr w:type="spellEnd"/>
                  <w:r w:rsidRPr="00D9137A">
                    <w:rPr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7A">
                    <w:rPr>
                      <w:iCs/>
                      <w:sz w:val="24"/>
                      <w:szCs w:val="24"/>
                    </w:rPr>
                    <w:t>лабораторії</w:t>
                  </w:r>
                  <w:proofErr w:type="spellEnd"/>
                </w:p>
              </w:tc>
              <w:tc>
                <w:tcPr>
                  <w:tcW w:w="7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53FD77" w14:textId="77777777" w:rsidR="00390DE9" w:rsidRDefault="00390DE9" w:rsidP="00390DE9">
                  <w:pPr>
                    <w:suppressAutoHyphens/>
                    <w:ind w:firstLine="175"/>
                    <w:jc w:val="both"/>
                    <w:rPr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Учасник повинен мати власну чи залучену випробувальну(ні) дорожню(ні) лабораторію(ї) (далі – вимірювальна лабораторія), яка спроможна виконувати контроль якості будівельних матеріалів, виробів і конструкцій, які необхідні для надання послуг, що є предметом закупівлі.</w:t>
                  </w:r>
                </w:p>
                <w:p w14:paraId="2309864D" w14:textId="77777777" w:rsidR="00390DE9" w:rsidRPr="0008400B" w:rsidRDefault="00390DE9" w:rsidP="00390DE9">
                  <w:pPr>
                    <w:suppressAutoHyphens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Для документального підтвердження наявності вимірювальної(-</w:t>
                  </w:r>
                  <w:proofErr w:type="spellStart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их</w:t>
                  </w:r>
                  <w:proofErr w:type="spellEnd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) лабораторії(-й) Учасник повинен надати:</w:t>
                  </w:r>
                </w:p>
                <w:p w14:paraId="3F71F989" w14:textId="77777777" w:rsidR="00390DE9" w:rsidRPr="0008400B" w:rsidRDefault="00390DE9" w:rsidP="00390DE9">
                  <w:pPr>
                    <w:suppressAutoHyphens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 довідку в довільній формі про наявність власної або залученої (-</w:t>
                  </w:r>
                  <w:proofErr w:type="spellStart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их</w:t>
                  </w:r>
                  <w:proofErr w:type="spellEnd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) вимірювальної(-</w:t>
                  </w:r>
                  <w:proofErr w:type="spellStart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их</w:t>
                  </w:r>
                  <w:proofErr w:type="spellEnd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) лабораторії(-й) у учасника;</w:t>
                  </w:r>
                </w:p>
                <w:p w14:paraId="127ED424" w14:textId="77777777" w:rsidR="00390DE9" w:rsidRPr="0008400B" w:rsidRDefault="00390DE9" w:rsidP="00390DE9">
                  <w:pPr>
                    <w:suppressAutoHyphens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 копія чинного договору з усіма додатками та невід’ємними частинами до договору про залучення сторонньої(-</w:t>
                  </w:r>
                  <w:proofErr w:type="spellStart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іх</w:t>
                  </w:r>
                  <w:proofErr w:type="spellEnd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) вимірювальної(-</w:t>
                  </w:r>
                  <w:proofErr w:type="spellStart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их</w:t>
                  </w:r>
                  <w:proofErr w:type="spellEnd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) лабораторії(-й) Учасником (надається щодо залученої(</w:t>
                  </w:r>
                  <w:proofErr w:type="spellStart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их</w:t>
                  </w:r>
                  <w:proofErr w:type="spellEnd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) лабораторії(й));</w:t>
                  </w:r>
                </w:p>
                <w:p w14:paraId="269D149D" w14:textId="77777777" w:rsidR="00390DE9" w:rsidRPr="0008400B" w:rsidRDefault="00390DE9" w:rsidP="00390DE9">
                  <w:pPr>
                    <w:suppressAutoHyphens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 гарантійний лист Учасника або власника (у разі залучення) про те, що під час надання послуг вимірювальна(-і) лабораторія(-ї), буде виконувати контроль якості будівельних матеріалів, виробів і конструкцій, з зазначенням об’єкту закупівлі;</w:t>
                  </w:r>
                </w:p>
                <w:p w14:paraId="732C92F7" w14:textId="77777777" w:rsidR="00390DE9" w:rsidRPr="0008400B" w:rsidRDefault="00390DE9" w:rsidP="00390DE9">
                  <w:pPr>
                    <w:suppressAutoHyphens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 документ (-ти) про відповідність лабораторії вимогам чинного законодавства України (свідоцтво, рішення тощо) про атестацію (сертифікацію) тощо або копію свідоцтва про відповідність системи керування вимірюваннями вимогам з додатком, де вказано галузь атестації (сертифікації) тощо, що видане компетентним органом та дійсне (чинне) на дату його подання Учасником та на період можливого надання послуг.</w:t>
                  </w:r>
                </w:p>
                <w:p w14:paraId="100EF5F5" w14:textId="77777777" w:rsidR="00390DE9" w:rsidRPr="008A73B5" w:rsidRDefault="00390DE9" w:rsidP="00390DE9">
                  <w:pPr>
                    <w:suppressAutoHyphens/>
                    <w:ind w:firstLine="175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- докази вжиття заходів подовження дії </w:t>
                  </w:r>
                  <w:bookmarkStart w:id="0" w:name="_Hlk132886275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(свідоцтва, рішення тощо) про атестацію (сертифікацію) тощо</w:t>
                  </w:r>
                  <w:bookmarkEnd w:id="0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вимірювальної лабораторії чи гарантійний лист Учасника щодо подовження дії (свідоцтва, рішення тощо) про атестацію (сертифікацію) тощо вимірювальної лабораторії (у разі, якщо строк дії атестату є меншим ніж строк закупівлі та період можливого надання послуг).</w:t>
                  </w:r>
                </w:p>
              </w:tc>
            </w:tr>
            <w:tr w:rsidR="00390DE9" w:rsidRPr="00980C00" w14:paraId="5B6D2BD2" w14:textId="77777777" w:rsidTr="001C4503">
              <w:trPr>
                <w:trHeight w:val="55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3F7362" w14:textId="77777777" w:rsidR="00390DE9" w:rsidRPr="00390DE9" w:rsidRDefault="00390DE9" w:rsidP="00390DE9">
                  <w:pPr>
                    <w:pStyle w:val="12"/>
                    <w:spacing w:after="0" w:line="240" w:lineRule="auto"/>
                    <w:jc w:val="center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Style w:val="1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3A6245" w14:textId="77777777" w:rsidR="00390DE9" w:rsidRPr="00390DE9" w:rsidRDefault="00390DE9" w:rsidP="00390DE9">
                  <w:pPr>
                    <w:pStyle w:val="10"/>
                    <w:spacing w:line="240" w:lineRule="auto"/>
                    <w:jc w:val="left"/>
                    <w:rPr>
                      <w:iCs/>
                      <w:sz w:val="24"/>
                      <w:szCs w:val="24"/>
                    </w:rPr>
                  </w:pPr>
                  <w:r w:rsidRPr="00390DE9">
                    <w:rPr>
                      <w:iCs/>
                      <w:sz w:val="24"/>
                      <w:szCs w:val="24"/>
                      <w:lang w:val="uk-UA"/>
                    </w:rPr>
                    <w:t xml:space="preserve">Інформація про відповідність міжнародним стандартам контроля якості надання послуг </w:t>
                  </w:r>
                </w:p>
              </w:tc>
              <w:tc>
                <w:tcPr>
                  <w:tcW w:w="7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D8F1F2" w14:textId="77777777" w:rsidR="00390DE9" w:rsidRPr="00390DE9" w:rsidRDefault="00390DE9" w:rsidP="00390DE9">
                  <w:pPr>
                    <w:shd w:val="clear" w:color="auto" w:fill="FFFFFF"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Учасник повинен надати діючі на момент подання тендерної пропозиції:</w:t>
                  </w:r>
                </w:p>
                <w:p w14:paraId="77C69492" w14:textId="77777777" w:rsidR="00390DE9" w:rsidRPr="00390DE9" w:rsidRDefault="00390DE9" w:rsidP="00390DE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Сертифікат ДСТУ ISO 9001:2018 (ISO 9001:2015, IDT) «Система управляння якістю. Вимоги», що підтверджує використання учасником вказаної системи управління якістю, який виданий учаснику.</w:t>
                  </w:r>
                </w:p>
                <w:p w14:paraId="183EA611" w14:textId="77777777" w:rsidR="00390DE9" w:rsidRPr="00390DE9" w:rsidRDefault="00390DE9" w:rsidP="00390DE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Сертифікат на систему екологічного управління ДСТУ ISO 14001:2015 (ISO 14001:2015, IDT) на будівництво доріг і автострад (автомагістралей) (або інша сфера поширення сертифікату, що охоплює код 42.11 (ДКПП – ДК 016:2010 або КВЕД ДК 009:2010).</w:t>
                  </w:r>
                </w:p>
                <w:p w14:paraId="5B515D17" w14:textId="4C8048BA" w:rsidR="00390DE9" w:rsidRPr="00390DE9" w:rsidRDefault="00390DE9" w:rsidP="00390DE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Сертифікат Учасника процедури закупівлі на систему управління охороною здоров’я та безпекою праці ДСТУ ISO 45001:2019 (ISO 45001:2018, IDT) на будівництво та ремонт доріг і автострад (автомагістралей) (або інша сфера поширення сертифікату, що охоплює код 42.11 (ДКПП – ДК 016:2010 або КВЕД ДК 009:2010).</w:t>
                  </w:r>
                </w:p>
              </w:tc>
            </w:tr>
          </w:tbl>
          <w:p w14:paraId="65E81F17" w14:textId="29D03D18" w:rsidR="00390DE9" w:rsidRDefault="00390DE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1C143F3" w14:textId="77777777" w:rsidR="00B44F1A" w:rsidRPr="00B44F1A" w:rsidRDefault="00B44F1A" w:rsidP="00435C1F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B44F1A" w:rsidRPr="00B44F1A" w:rsidSect="001658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D1CA5"/>
    <w:multiLevelType w:val="hybridMultilevel"/>
    <w:tmpl w:val="94724D62"/>
    <w:lvl w:ilvl="0" w:tplc="70447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3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1A"/>
    <w:rsid w:val="00024832"/>
    <w:rsid w:val="0016588E"/>
    <w:rsid w:val="001835D2"/>
    <w:rsid w:val="00220F07"/>
    <w:rsid w:val="00225D59"/>
    <w:rsid w:val="0031183B"/>
    <w:rsid w:val="00390DE9"/>
    <w:rsid w:val="00435C1F"/>
    <w:rsid w:val="004D520A"/>
    <w:rsid w:val="006A46B7"/>
    <w:rsid w:val="006E369A"/>
    <w:rsid w:val="00980C00"/>
    <w:rsid w:val="00AE5958"/>
    <w:rsid w:val="00B44F1A"/>
    <w:rsid w:val="00C365AB"/>
    <w:rsid w:val="00C521FC"/>
    <w:rsid w:val="00C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6ADC"/>
  <w15:chartTrackingRefBased/>
  <w15:docId w15:val="{37A9E023-E3B0-4566-A96A-603ACC0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6A46B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6A46B7"/>
    <w:pPr>
      <w:widowControl w:val="0"/>
      <w:shd w:val="clear" w:color="auto" w:fill="FFFFFF"/>
      <w:spacing w:before="360" w:after="240" w:line="259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List Paragraph"/>
    <w:basedOn w:val="a"/>
    <w:uiPriority w:val="34"/>
    <w:qFormat/>
    <w:rsid w:val="001835D2"/>
    <w:pPr>
      <w:ind w:left="720"/>
      <w:contextualSpacing/>
    </w:pPr>
  </w:style>
  <w:style w:type="character" w:customStyle="1" w:styleId="1">
    <w:name w:val="Основной шрифт абзаца1"/>
    <w:rsid w:val="00390DE9"/>
  </w:style>
  <w:style w:type="paragraph" w:customStyle="1" w:styleId="10">
    <w:name w:val="Основной текст1"/>
    <w:basedOn w:val="a"/>
    <w:link w:val="11"/>
    <w:rsid w:val="00390DE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10"/>
    <w:rsid w:val="0039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qFormat/>
    <w:rsid w:val="00390DE9"/>
    <w:pPr>
      <w:suppressAutoHyphens/>
      <w:spacing w:after="200" w:line="275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ввввв</cp:lastModifiedBy>
  <cp:revision>7</cp:revision>
  <dcterms:created xsi:type="dcterms:W3CDTF">2024-03-26T11:12:00Z</dcterms:created>
  <dcterms:modified xsi:type="dcterms:W3CDTF">2024-03-29T08:37:00Z</dcterms:modified>
</cp:coreProperties>
</file>