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725689D6" w14:textId="77777777" w:rsidR="00F06746" w:rsidRDefault="00EA6E85" w:rsidP="00F06746">
      <w:pPr>
        <w:widowControl w:val="0"/>
        <w:tabs>
          <w:tab w:val="left" w:pos="5556"/>
          <w:tab w:val="left" w:pos="7293"/>
          <w:tab w:val="left" w:pos="10350"/>
        </w:tabs>
        <w:autoSpaceDE w:val="0"/>
        <w:autoSpaceDN w:val="0"/>
        <w:spacing w:after="0" w:line="275" w:lineRule="exact"/>
        <w:ind w:left="284" w:right="-2"/>
        <w:rPr>
          <w:rFonts w:ascii="Times New Roman" w:eastAsia="Arial" w:hAnsi="Times New Roman" w:cs="Times New Roman"/>
          <w:b/>
          <w:color w:val="000000"/>
          <w:sz w:val="24"/>
          <w:szCs w:val="24"/>
        </w:rPr>
      </w:pPr>
      <w:r w:rsidRPr="00190E54">
        <w:rPr>
          <w:rFonts w:ascii="Times New Roman" w:eastAsia="Times New Roman" w:hAnsi="Times New Roman" w:cs="Times New Roman"/>
          <w:sz w:val="24"/>
          <w:szCs w:val="24"/>
        </w:rPr>
        <w:t>(далі Постачальник) з однієї сторони, і</w:t>
      </w:r>
      <w:r w:rsidR="00F06746" w:rsidRPr="00F06746">
        <w:rPr>
          <w:rFonts w:ascii="Times New Roman" w:eastAsia="Arial" w:hAnsi="Times New Roman" w:cs="Times New Roman"/>
          <w:b/>
          <w:color w:val="000000"/>
          <w:sz w:val="24"/>
          <w:szCs w:val="24"/>
        </w:rPr>
        <w:t xml:space="preserve"> </w:t>
      </w:r>
    </w:p>
    <w:p w14:paraId="56C2A615" w14:textId="7CF2BBD1" w:rsidR="00EA6E85" w:rsidRPr="00F06746" w:rsidRDefault="00F06746" w:rsidP="00F06746">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D9543A">
        <w:rPr>
          <w:rFonts w:ascii="Times New Roman" w:eastAsia="Arial" w:hAnsi="Times New Roman" w:cs="Times New Roman"/>
          <w:b/>
          <w:color w:val="000000"/>
          <w:sz w:val="24"/>
          <w:szCs w:val="24"/>
        </w:rPr>
        <w:t xml:space="preserve">Заклад загальної середньої освіти 1-111 ступенів – ліцей  с. Стрілки </w:t>
      </w:r>
      <w:proofErr w:type="spellStart"/>
      <w:r w:rsidRPr="00D9543A">
        <w:rPr>
          <w:rFonts w:ascii="Times New Roman" w:eastAsia="Arial" w:hAnsi="Times New Roman" w:cs="Times New Roman"/>
          <w:b/>
          <w:color w:val="000000"/>
          <w:sz w:val="24"/>
          <w:szCs w:val="24"/>
        </w:rPr>
        <w:t>Стрілківської</w:t>
      </w:r>
      <w:proofErr w:type="spellEnd"/>
      <w:r w:rsidRPr="00D9543A">
        <w:rPr>
          <w:rFonts w:ascii="Times New Roman" w:eastAsia="Arial" w:hAnsi="Times New Roman" w:cs="Times New Roman"/>
          <w:b/>
          <w:color w:val="000000"/>
          <w:sz w:val="24"/>
          <w:szCs w:val="24"/>
        </w:rPr>
        <w:t xml:space="preserve"> сільської ради  Самбірського району Львівської</w:t>
      </w:r>
    </w:p>
    <w:p w14:paraId="046A5F3B" w14:textId="6E3B1471"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00F06746">
        <w:rPr>
          <w:rFonts w:ascii="Times New Roman" w:eastAsia="Times New Roman" w:hAnsi="Times New Roman" w:cs="Times New Roman"/>
          <w:b/>
        </w:rPr>
        <w:t xml:space="preserve"> директора </w:t>
      </w:r>
      <w:proofErr w:type="spellStart"/>
      <w:r w:rsidR="00F06746">
        <w:rPr>
          <w:rFonts w:ascii="Times New Roman" w:eastAsia="Times New Roman" w:hAnsi="Times New Roman" w:cs="Times New Roman"/>
          <w:b/>
        </w:rPr>
        <w:t>Циба</w:t>
      </w:r>
      <w:proofErr w:type="spellEnd"/>
      <w:r w:rsidR="00F06746">
        <w:rPr>
          <w:rFonts w:ascii="Times New Roman" w:eastAsia="Times New Roman" w:hAnsi="Times New Roman" w:cs="Times New Roman"/>
          <w:b/>
        </w:rPr>
        <w:t xml:space="preserve"> Ярослава Івановича</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00F06746">
        <w:rPr>
          <w:rFonts w:ascii="Times New Roman" w:eastAsia="Times New Roman" w:hAnsi="Times New Roman" w:cs="Times New Roman"/>
          <w:b/>
        </w:rPr>
        <w:t xml:space="preserve">Статуту </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0FE158D9" w:rsidR="00EA6E85" w:rsidRPr="00F06746" w:rsidRDefault="00EA6E85" w:rsidP="00F06746">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00F06746">
        <w:rPr>
          <w:rFonts w:ascii="Times New Roman" w:eastAsia="Times New Roman" w:hAnsi="Times New Roman" w:cs="Times New Roman"/>
          <w:sz w:val="24"/>
          <w:szCs w:val="24"/>
        </w:rPr>
        <w:t xml:space="preserve"> </w:t>
      </w:r>
      <w:r w:rsidR="00F06746" w:rsidRPr="00F06746">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за ДК 021:2015 «Єдиний закупівельний словник»</w:t>
      </w:r>
      <w:r w:rsidRPr="00F06746">
        <w:rPr>
          <w:rFonts w:ascii="Times New Roman" w:eastAsia="Times New Roman" w:hAnsi="Times New Roman" w:cs="Times New Roman"/>
          <w:sz w:val="24"/>
          <w:szCs w:val="24"/>
        </w:rPr>
        <w:t xml:space="preserve"> (далі – електрична енергія</w:t>
      </w:r>
      <w:r w:rsidR="00F15E12" w:rsidRPr="00F06746">
        <w:rPr>
          <w:rFonts w:ascii="Times New Roman" w:eastAsia="Times New Roman" w:hAnsi="Times New Roman" w:cs="Times New Roman"/>
          <w:sz w:val="24"/>
          <w:szCs w:val="24"/>
        </w:rPr>
        <w:t>, Товар</w:t>
      </w:r>
      <w:r w:rsidRPr="00F06746">
        <w:rPr>
          <w:rFonts w:ascii="Times New Roman" w:eastAsia="Times New Roman" w:hAnsi="Times New Roman" w:cs="Times New Roman"/>
          <w:sz w:val="24"/>
          <w:szCs w:val="24"/>
        </w:rPr>
        <w:t>), а Споживач зобов'язується прийняти та оплатити ц</w:t>
      </w:r>
      <w:r w:rsidR="009044FE" w:rsidRPr="00F06746">
        <w:rPr>
          <w:rFonts w:ascii="Times New Roman" w:eastAsia="Times New Roman" w:hAnsi="Times New Roman" w:cs="Times New Roman"/>
          <w:sz w:val="24"/>
          <w:szCs w:val="24"/>
        </w:rPr>
        <w:t xml:space="preserve">ей Товар </w:t>
      </w:r>
      <w:r w:rsidRPr="00F06746">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8"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bookmarkStart w:id="2" w:name="_GoBack"/>
      <w:bookmarkEnd w:id="2"/>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45469CEE"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F06746">
        <w:rPr>
          <w:rFonts w:ascii="Times New Roman" w:eastAsia="Times New Roman" w:hAnsi="Times New Roman" w:cs="Times New Roman"/>
          <w:sz w:val="24"/>
          <w:szCs w:val="24"/>
        </w:rPr>
        <w:t>до 31 грудня  2023</w:t>
      </w:r>
      <w:r w:rsidRPr="00190E54">
        <w:rPr>
          <w:rFonts w:ascii="Times New Roman" w:eastAsia="Times New Roman" w:hAnsi="Times New Roman" w:cs="Times New Roman"/>
          <w:sz w:val="24"/>
          <w:szCs w:val="24"/>
        </w:rPr>
        <w:t>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кол-центрі</w:t>
      </w:r>
      <w:proofErr w:type="spellEnd"/>
      <w:r w:rsidR="00CC66DC">
        <w:rPr>
          <w:rFonts w:ascii="Times New Roman" w:eastAsia="Times New Roman" w:hAnsi="Times New Roman" w:cs="Times New Roman"/>
          <w:sz w:val="24"/>
          <w:szCs w:val="24"/>
        </w:rPr>
        <w:t>,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3"/>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4"/>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B4D26">
        <w:rPr>
          <w:rFonts w:ascii="Times New Roman" w:eastAsia="Times New Roman" w:hAnsi="Times New Roman" w:cs="Times New Roman"/>
          <w:bCs/>
          <w:sz w:val="24"/>
          <w:szCs w:val="24"/>
        </w:rPr>
        <w:lastRenderedPageBreak/>
        <w:t xml:space="preserve">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w:t>
      </w:r>
      <w:r w:rsidR="00DC1DA9" w:rsidRPr="00190E54">
        <w:rPr>
          <w:rFonts w:ascii="Times New Roman" w:eastAsia="Times New Roman" w:hAnsi="Times New Roman" w:cs="Times New Roman"/>
          <w:bCs/>
          <w:sz w:val="24"/>
          <w:szCs w:val="24"/>
        </w:rPr>
        <w:lastRenderedPageBreak/>
        <w:t>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lastRenderedPageBreak/>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lastRenderedPageBreak/>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w:t>
      </w:r>
      <w:r w:rsidRPr="00EF4AB3">
        <w:rPr>
          <w:rFonts w:ascii="Times New Roman" w:eastAsia="Times New Roman" w:hAnsi="Times New Roman" w:cs="Times New Roman"/>
          <w:sz w:val="24"/>
          <w:szCs w:val="24"/>
        </w:rPr>
        <w:lastRenderedPageBreak/>
        <w:t>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xml:space="preserve">, принаймні за 21 день до такої зміни вказавши дату або строки, в які буде відбуватись така </w:t>
      </w:r>
      <w:r w:rsidRPr="00190E54">
        <w:rPr>
          <w:rFonts w:ascii="Times New Roman" w:eastAsia="Times New Roman" w:hAnsi="Times New Roman" w:cs="Times New Roman"/>
          <w:sz w:val="24"/>
          <w:szCs w:val="24"/>
        </w:rPr>
        <w:lastRenderedPageBreak/>
        <w:t>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«_______» _____________ 20______року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33542D">
        <w:rPr>
          <w:rFonts w:ascii="Times New Roman" w:eastAsia="Times New Roman" w:hAnsi="Times New Roman" w:cs="Times New Roman"/>
          <w:bCs/>
          <w:sz w:val="24"/>
          <w:szCs w:val="24"/>
        </w:rPr>
        <w:t>зв</w:t>
      </w:r>
      <w:proofErr w:type="spellEnd"/>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lastRenderedPageBreak/>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DE34D0"/>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0AD77" w14:textId="77777777" w:rsidR="00DE34D0" w:rsidRDefault="00DE34D0" w:rsidP="008E5A12">
      <w:pPr>
        <w:spacing w:after="0" w:line="240" w:lineRule="auto"/>
      </w:pPr>
      <w:r>
        <w:separator/>
      </w:r>
    </w:p>
  </w:endnote>
  <w:endnote w:type="continuationSeparator" w:id="0">
    <w:p w14:paraId="429819D9" w14:textId="77777777" w:rsidR="00DE34D0" w:rsidRDefault="00DE34D0"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3868" w14:textId="77777777" w:rsidR="00DE34D0" w:rsidRDefault="00DE34D0" w:rsidP="008E5A12">
      <w:pPr>
        <w:spacing w:after="0" w:line="240" w:lineRule="auto"/>
      </w:pPr>
      <w:r>
        <w:separator/>
      </w:r>
    </w:p>
  </w:footnote>
  <w:footnote w:type="continuationSeparator" w:id="0">
    <w:p w14:paraId="4E4BB98B" w14:textId="77777777" w:rsidR="00DE34D0" w:rsidRDefault="00DE34D0"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658C"/>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75039"/>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4D0"/>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06746"/>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27894</Words>
  <Characters>15900</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2022-11-28T13:57:00Z</dcterms:created>
  <dcterms:modified xsi:type="dcterms:W3CDTF">2022-12-02T11:31:00Z</dcterms:modified>
</cp:coreProperties>
</file>