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F5F"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11901A4B" w14:textId="77777777"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604D6D5C"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15695284"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48F619B"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14:paraId="0BA02E03" w14:textId="77777777"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14:paraId="41F248AA" w14:textId="77777777" w:rsidTr="00A869E2">
        <w:tc>
          <w:tcPr>
            <w:tcW w:w="4820" w:type="dxa"/>
            <w:vAlign w:val="center"/>
          </w:tcPr>
          <w:p w14:paraId="1B11CD22" w14:textId="75ED02F1" w:rsidR="00A869E2" w:rsidRDefault="00F61BC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w:t>
            </w:r>
            <w:r w:rsidR="00A869E2">
              <w:rPr>
                <w:rFonts w:ascii="Times New Roman" w:eastAsia="Times New Roman" w:hAnsi="Times New Roman" w:cs="Times New Roman"/>
                <w:b/>
                <w:bCs/>
                <w:sz w:val="24"/>
                <w:szCs w:val="24"/>
                <w:lang w:val="uk-UA" w:eastAsia="ar-SA"/>
              </w:rPr>
              <w:t xml:space="preserve">. </w:t>
            </w:r>
            <w:r>
              <w:rPr>
                <w:rFonts w:ascii="Times New Roman" w:eastAsia="Times New Roman" w:hAnsi="Times New Roman" w:cs="Times New Roman"/>
                <w:b/>
                <w:bCs/>
                <w:sz w:val="24"/>
                <w:szCs w:val="24"/>
                <w:lang w:val="uk-UA" w:eastAsia="ar-SA"/>
              </w:rPr>
              <w:t>__________________________</w:t>
            </w:r>
          </w:p>
          <w:p w14:paraId="14F752FE" w14:textId="77777777"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14:paraId="6F37923E" w14:textId="77777777"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14:paraId="06DA6A38" w14:textId="77777777"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14:paraId="04298C43" w14:textId="5B6006D4"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D755FE">
        <w:rPr>
          <w:rFonts w:ascii="Times New Roman CYR" w:eastAsia="Times New Roman" w:hAnsi="Times New Roman CYR" w:cs="Times New Roman CYR"/>
          <w:b/>
          <w:sz w:val="24"/>
          <w:szCs w:val="24"/>
          <w:lang w:val="uk-UA" w:eastAsia="zh-CN"/>
        </w:rPr>
        <w:t>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D755FE">
        <w:rPr>
          <w:rFonts w:ascii="Times New Roman" w:eastAsia="Times New Roman" w:hAnsi="Times New Roman" w:cs="Times New Roman"/>
          <w:sz w:val="24"/>
          <w:szCs w:val="24"/>
          <w:lang w:val="uk-UA" w:eastAsia="zh-CN"/>
        </w:rPr>
        <w:t>________________________________________</w:t>
      </w:r>
      <w:r>
        <w:rPr>
          <w:rFonts w:ascii="Times New Roman" w:eastAsia="Times New Roman" w:hAnsi="Times New Roman" w:cs="Times New Roman"/>
          <w:sz w:val="24"/>
          <w:szCs w:val="24"/>
          <w:lang w:val="uk-UA" w:eastAsia="ar-SA"/>
        </w:rPr>
        <w:t xml:space="preserve">,  який  діє на підставі </w:t>
      </w:r>
      <w:r w:rsidR="00D755FE">
        <w:rPr>
          <w:rFonts w:ascii="Times New Roman" w:eastAsia="Times New Roman" w:hAnsi="Times New Roman" w:cs="Times New Roman"/>
          <w:b/>
          <w:sz w:val="24"/>
          <w:szCs w:val="24"/>
          <w:lang w:val="uk-UA" w:eastAsia="ar-SA"/>
        </w:rPr>
        <w:t>__________________</w:t>
      </w:r>
      <w:r>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sz w:val="24"/>
          <w:szCs w:val="24"/>
          <w:lang w:val="uk-UA" w:eastAsia="ar-SA"/>
        </w:rPr>
        <w:t xml:space="preserve"> (далі - Замовник), з однієї сторони, і </w:t>
      </w:r>
    </w:p>
    <w:p w14:paraId="48F6965E" w14:textId="77777777"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36F37E8C" w14:textId="77777777"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364A9800" w14:textId="77777777"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66B61B5A" w14:textId="77777777"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54513816" w14:textId="77777777" w:rsidTr="0053281F">
        <w:tc>
          <w:tcPr>
            <w:tcW w:w="10490" w:type="dxa"/>
            <w:shd w:val="clear" w:color="auto" w:fill="auto"/>
            <w:vAlign w:val="center"/>
          </w:tcPr>
          <w:p w14:paraId="7344465A" w14:textId="54141548"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CB2E10" w:rsidRPr="00CB2E10">
              <w:rPr>
                <w:rFonts w:ascii="Times New Roman" w:hAnsi="Times New Roman" w:cs="Times New Roman"/>
                <w:b/>
                <w:bCs/>
                <w:sz w:val="24"/>
                <w:szCs w:val="24"/>
                <w:lang w:val="uk-UA"/>
              </w:rPr>
              <w:t xml:space="preserve">код </w:t>
            </w:r>
            <w:r w:rsidR="00CB2E10" w:rsidRPr="00CB2E10">
              <w:rPr>
                <w:rFonts w:ascii="Times New Roman" w:hAnsi="Times New Roman" w:cs="Times New Roman"/>
                <w:b/>
                <w:bCs/>
                <w:sz w:val="24"/>
                <w:szCs w:val="24"/>
              </w:rPr>
              <w:t xml:space="preserve">ДК 021:2015: 24450000-3 Агрохімічна продукція (Дезінфекційні засоби </w:t>
            </w:r>
            <w:r w:rsidR="00CB2E10" w:rsidRPr="00CB2E10">
              <w:rPr>
                <w:rFonts w:ascii="Times New Roman" w:hAnsi="Times New Roman" w:cs="Times New Roman"/>
                <w:b/>
                <w:bCs/>
                <w:sz w:val="24"/>
                <w:szCs w:val="24"/>
                <w:lang w:val="uk-UA"/>
              </w:rPr>
              <w:t xml:space="preserve">(Засіб дезінфікуючий"БактеріоДез актив" 1,5кг з мірною ложкою; Засіб дезінфекційний "БактеріоДез квік" 950 мл з розпилювачем; </w:t>
            </w:r>
            <w:r w:rsidR="00CB2E10" w:rsidRPr="00CB2E10">
              <w:rPr>
                <w:rFonts w:ascii="Times New Roman" w:hAnsi="Times New Roman" w:cs="Times New Roman"/>
                <w:b/>
                <w:bCs/>
                <w:sz w:val="24"/>
                <w:szCs w:val="24"/>
              </w:rPr>
              <w:t>Засіб дезінфекційний "БактеріоДез софт" 1л з дозатором</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 "БактеріоДез пур" 1л з дозатором</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 "БактеріоДез софт" К/5000 мл</w:t>
            </w:r>
            <w:r w:rsidR="00CB2E10" w:rsidRPr="00CB2E10">
              <w:rPr>
                <w:rFonts w:ascii="Times New Roman" w:hAnsi="Times New Roman" w:cs="Times New Roman"/>
                <w:b/>
                <w:bCs/>
                <w:sz w:val="24"/>
                <w:szCs w:val="24"/>
                <w:lang w:val="uk-UA"/>
              </w:rPr>
              <w:t xml:space="preserve">; Засіб дезінфікуючий "Біолюфт </w:t>
            </w:r>
            <w:r w:rsidR="00CB2E10" w:rsidRPr="00CB2E10">
              <w:rPr>
                <w:rFonts w:ascii="Times New Roman" w:hAnsi="Times New Roman" w:cs="Times New Roman"/>
                <w:b/>
                <w:bCs/>
                <w:sz w:val="24"/>
                <w:szCs w:val="24"/>
              </w:rPr>
              <w:t>CL</w:t>
            </w:r>
            <w:r w:rsidR="00CB2E10" w:rsidRPr="00CB2E10">
              <w:rPr>
                <w:rFonts w:ascii="Times New Roman" w:hAnsi="Times New Roman" w:cs="Times New Roman"/>
                <w:b/>
                <w:bCs/>
                <w:sz w:val="24"/>
                <w:szCs w:val="24"/>
                <w:lang w:val="uk-UA"/>
              </w:rPr>
              <w:t xml:space="preserve"> "(0,800 кг) з двома мірними ложками; Засіб дезінфекційний "Гігазім(</w:t>
            </w:r>
            <w:r w:rsidR="00CB2E10" w:rsidRPr="00CB2E10">
              <w:rPr>
                <w:rFonts w:ascii="Times New Roman" w:hAnsi="Times New Roman" w:cs="Times New Roman"/>
                <w:b/>
                <w:bCs/>
                <w:sz w:val="24"/>
                <w:szCs w:val="24"/>
              </w:rPr>
              <w:t>Gigazyme</w:t>
            </w:r>
            <w:r w:rsidR="00CB2E10" w:rsidRPr="00CB2E10">
              <w:rPr>
                <w:rFonts w:ascii="Times New Roman" w:hAnsi="Times New Roman" w:cs="Times New Roman"/>
                <w:b/>
                <w:bCs/>
                <w:sz w:val="24"/>
                <w:szCs w:val="24"/>
                <w:lang w:val="uk-UA"/>
              </w:rPr>
              <w:t xml:space="preserve">)" (2л); Засіб дезінфекційний  «термосепт® ED (thermosept® ED)» для дезінфекції, дезінфекції високого рівня та стерилізації 5л; </w:t>
            </w:r>
            <w:r w:rsidR="00CB2E10" w:rsidRPr="00CB2E10">
              <w:rPr>
                <w:rFonts w:ascii="Times New Roman" w:hAnsi="Times New Roman" w:cs="Times New Roman"/>
                <w:b/>
                <w:bCs/>
                <w:sz w:val="24"/>
                <w:szCs w:val="24"/>
              </w:rPr>
              <w:t>Засіб дезінфекційний БактеріоДез Інстру 1л</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дезінфекційний"Квартацид хлор актив"1 кг</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 "БактеріоДез екстра" 1л</w:t>
            </w:r>
            <w:r w:rsidR="00CB2E10" w:rsidRPr="00CB2E10">
              <w:rPr>
                <w:rFonts w:ascii="Times New Roman" w:hAnsi="Times New Roman" w:cs="Times New Roman"/>
                <w:b/>
                <w:bCs/>
                <w:sz w:val="24"/>
                <w:szCs w:val="24"/>
                <w:lang w:val="uk-UA"/>
              </w:rPr>
              <w:t>; Засіб дезінфекційний БактеріоДез квік вологі серветки з клапаном 100 штук)</w:t>
            </w:r>
            <w:r w:rsidR="00D755FE" w:rsidRPr="00F61BCD">
              <w:rPr>
                <w:rFonts w:ascii="Times New Roman CYR" w:eastAsia="Times New Roman" w:hAnsi="Times New Roman CYR" w:cs="Times New Roman CYR"/>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1D4BD1CD" w14:textId="77777777"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00BC568E" w14:textId="77777777"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4AE18E2B"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4A17D552" w14:textId="77777777"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6D8DB401" w14:textId="77777777" w:rsidTr="0053281F">
        <w:tc>
          <w:tcPr>
            <w:tcW w:w="10348" w:type="dxa"/>
            <w:shd w:val="clear" w:color="auto" w:fill="auto"/>
            <w:vAlign w:val="center"/>
          </w:tcPr>
          <w:p w14:paraId="0F5F927E"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6083AE3C"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14:paraId="36C0120F"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0181904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6288006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w:t>
            </w:r>
            <w:r w:rsidRPr="009C216A">
              <w:rPr>
                <w:rFonts w:ascii="Times New Roman" w:eastAsia="Times New Roman" w:hAnsi="Times New Roman" w:cs="Times New Roman"/>
                <w:sz w:val="24"/>
                <w:szCs w:val="24"/>
                <w:lang w:val="uk-UA" w:eastAsia="ar-SA"/>
              </w:rPr>
              <w:lastRenderedPageBreak/>
              <w:t>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168453C0" w14:textId="77777777"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14:paraId="703F8099"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4F355FB2"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61FB6A38" w14:textId="77777777" w:rsidTr="0053281F">
        <w:tc>
          <w:tcPr>
            <w:tcW w:w="10348" w:type="dxa"/>
            <w:shd w:val="clear" w:color="auto" w:fill="auto"/>
            <w:vAlign w:val="center"/>
          </w:tcPr>
          <w:p w14:paraId="4DA52214" w14:textId="77777777"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14:paraId="5319411E" w14:textId="77777777"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AE3EC4D" w14:textId="77777777"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64ECF5A0" w14:textId="77777777"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7197E90B"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6BD436BE"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44F8A8"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C041295"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349B7E6"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E2096E5"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349ACB5"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3C735A3F"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3059E919"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503622" w14:textId="77777777"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3965DC" w14:textId="77777777"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05628A" w14:textId="77777777"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14:paraId="5EA23C1F" w14:textId="77777777"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0E951FF" w14:textId="77777777"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0526C43C"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14:paraId="3B42D5C3" w14:textId="77777777"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6B8D9C2D" w14:textId="77777777" w:rsidTr="0053281F">
        <w:trPr>
          <w:trHeight w:val="840"/>
        </w:trPr>
        <w:tc>
          <w:tcPr>
            <w:tcW w:w="10348" w:type="dxa"/>
            <w:shd w:val="clear" w:color="auto" w:fill="auto"/>
            <w:vAlign w:val="center"/>
          </w:tcPr>
          <w:p w14:paraId="0E0F7AE0"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02E99F79" w14:textId="77777777"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57978BFE"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6BE28177" w14:textId="77777777"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32AD648F" w14:textId="77777777"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14:paraId="40F77F51" w14:textId="77777777"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71DC1732" w14:textId="77777777"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14:paraId="2372D207" w14:textId="77777777"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06F00993" w14:textId="77777777"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41ABF444" w14:textId="4EF34890"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 xml:space="preserve">(за адресою замовника) </w:t>
      </w:r>
      <w:r w:rsidR="00D755FE">
        <w:rPr>
          <w:rFonts w:ascii="Times New Roman" w:eastAsia="Calibri" w:hAnsi="Times New Roman" w:cs="Times New Roman"/>
          <w:b/>
          <w:sz w:val="24"/>
          <w:szCs w:val="24"/>
          <w:lang w:val="uk-UA" w:eastAsia="en-US"/>
        </w:rPr>
        <w:t>______________________________________________________________________________________</w:t>
      </w:r>
    </w:p>
    <w:p w14:paraId="7CC6A074" w14:textId="77777777"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6B06747B"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14:paraId="71AF73B7"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650E4BC5" w14:textId="77777777" w:rsidTr="0053281F">
        <w:tc>
          <w:tcPr>
            <w:tcW w:w="10490" w:type="dxa"/>
            <w:shd w:val="clear" w:color="auto" w:fill="auto"/>
            <w:vAlign w:val="center"/>
          </w:tcPr>
          <w:p w14:paraId="72F7160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0C14458A"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00BC6786"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14:paraId="56DC2F7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58167D8A"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71DB061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7A85EDA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7EFB3A8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701D1B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 фактуру Постачальнику без здійснення оплати в разі неналежного </w:t>
            </w:r>
            <w:r w:rsidRPr="009C216A">
              <w:rPr>
                <w:rFonts w:ascii="Times New Roman" w:eastAsia="Times New Roman" w:hAnsi="Times New Roman" w:cs="Times New Roman"/>
                <w:sz w:val="24"/>
                <w:szCs w:val="24"/>
                <w:lang w:val="uk-UA" w:eastAsia="ar-SA"/>
              </w:rPr>
              <w:lastRenderedPageBreak/>
              <w:t>оформлення документів.</w:t>
            </w:r>
          </w:p>
          <w:p w14:paraId="6BD756F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3F30E4E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1CA465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7FA2C7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3887A1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15BFB7C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76FAA38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85FBE5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5C16033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3865F9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07DA093"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E8629B4"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14:paraId="1BFAB37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6B96675F" w14:textId="77777777" w:rsidTr="0053281F">
        <w:tc>
          <w:tcPr>
            <w:tcW w:w="10490" w:type="dxa"/>
            <w:shd w:val="clear" w:color="auto" w:fill="auto"/>
            <w:vAlign w:val="center"/>
          </w:tcPr>
          <w:p w14:paraId="7BC2896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11D493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0B8DDFD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5CD17C3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0408A638"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ADD6BD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14:paraId="7B7DF09D"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260EF651" w14:textId="77777777" w:rsidTr="0053281F">
        <w:tc>
          <w:tcPr>
            <w:tcW w:w="10490" w:type="dxa"/>
            <w:shd w:val="clear" w:color="auto" w:fill="auto"/>
            <w:vAlign w:val="center"/>
          </w:tcPr>
          <w:p w14:paraId="2984A00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5FFB58FF"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8921A89"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2810C2D4"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70C36DA"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66E3E162" w14:textId="77777777" w:rsidTr="0053281F">
        <w:tc>
          <w:tcPr>
            <w:tcW w:w="10490" w:type="dxa"/>
            <w:shd w:val="clear" w:color="auto" w:fill="auto"/>
            <w:vAlign w:val="center"/>
          </w:tcPr>
          <w:p w14:paraId="1AA1103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FF8626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F4A4FE2"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201C2865" w14:textId="77777777" w:rsidTr="0053281F">
        <w:tc>
          <w:tcPr>
            <w:tcW w:w="10490" w:type="dxa"/>
            <w:shd w:val="clear" w:color="auto" w:fill="auto"/>
            <w:vAlign w:val="center"/>
          </w:tcPr>
          <w:p w14:paraId="70E75E6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14:paraId="771E66D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645B5D6E" w14:textId="77777777"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73465F97"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6DCE06D5"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13E917A3"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703C7E3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5BC3C29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00C6822" w14:textId="77777777"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14:paraId="770394F3" w14:textId="77777777"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5F761BBF" w14:textId="77777777"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51136466"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6FFF7A1D"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36FC9B4E"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63A0CEA9" w14:textId="77777777" w:rsidTr="0053281F">
        <w:trPr>
          <w:trHeight w:val="65"/>
        </w:trPr>
        <w:tc>
          <w:tcPr>
            <w:tcW w:w="10500" w:type="dxa"/>
            <w:shd w:val="clear" w:color="auto" w:fill="auto"/>
            <w:vAlign w:val="center"/>
          </w:tcPr>
          <w:p w14:paraId="13DEC10D" w14:textId="77777777"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2B25196A" w14:textId="77777777"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14:paraId="442952F4" w14:textId="77777777" w:rsidTr="00A869E2">
        <w:trPr>
          <w:trHeight w:val="3894"/>
        </w:trPr>
        <w:tc>
          <w:tcPr>
            <w:tcW w:w="5003" w:type="dxa"/>
          </w:tcPr>
          <w:p w14:paraId="494CC030"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14:paraId="2075D29F"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14:paraId="2E54216A"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C92A75D" w14:textId="77777777" w:rsidR="00D755FE" w:rsidRDefault="00D755FE" w:rsidP="00D755FE">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512B7C0B"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C428326"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EADF16A"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2135A9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B86CF5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DCCDB79"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70CAADE"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C03CE6E"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19132C41"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1D1C52C"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17861FD3"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0F7F986E"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2D075EF9"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0ED333FA"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5E7CCD2A" w14:textId="577DB62A" w:rsidR="00A869E2"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14:paraId="74D7AB22" w14:textId="77777777"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10CD2041"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85B1C7B" w14:textId="77777777"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4A605D5F"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DEAD250"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49327DE"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C6D638F"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B916515"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3DF7B1E"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F831959"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37030F1"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72125D92"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59CA9F1"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26305ECA"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28B135DD"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16C27E4"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1D43300B"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3596E426"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78BB4A96"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00603B3A" w14:textId="77777777"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14:paraId="06CCD8B8" w14:textId="77777777"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BA2CA9B" w14:textId="77777777"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2F439AA1" w14:textId="77777777"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4F8FE6A2" w14:textId="77777777"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4913AF23" w14:textId="349508DC"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eastAsia="ar-SA"/>
        </w:rPr>
        <w:t xml:space="preserve">на закупівлю </w:t>
      </w:r>
      <w:r w:rsidR="00CB2E10" w:rsidRPr="00CB2E10">
        <w:rPr>
          <w:rFonts w:ascii="Times New Roman" w:hAnsi="Times New Roman" w:cs="Times New Roman"/>
          <w:b/>
          <w:bCs/>
          <w:sz w:val="24"/>
          <w:szCs w:val="24"/>
          <w:lang w:val="uk-UA"/>
        </w:rPr>
        <w:t xml:space="preserve">код </w:t>
      </w:r>
      <w:r w:rsidR="00CB2E10" w:rsidRPr="00CB2E10">
        <w:rPr>
          <w:rFonts w:ascii="Times New Roman" w:hAnsi="Times New Roman" w:cs="Times New Roman"/>
          <w:b/>
          <w:bCs/>
          <w:sz w:val="24"/>
          <w:szCs w:val="24"/>
        </w:rPr>
        <w:t xml:space="preserve">ДК 021:2015: 24450000-3 Агрохімічна продукція (Дезінфекційні засоби </w:t>
      </w:r>
      <w:r w:rsidR="00CB2E10" w:rsidRPr="00CB2E10">
        <w:rPr>
          <w:rFonts w:ascii="Times New Roman" w:hAnsi="Times New Roman" w:cs="Times New Roman"/>
          <w:b/>
          <w:bCs/>
          <w:sz w:val="24"/>
          <w:szCs w:val="24"/>
          <w:lang w:val="uk-UA"/>
        </w:rPr>
        <w:t xml:space="preserve">(Засіб дезінфікуючий"БактеріоДез актив" 1,5кг з мірною ложкою; Засіб дезінфекційний "БактеріоДез квік" 950 мл з розпилювачем; </w:t>
      </w:r>
      <w:r w:rsidR="00CB2E10" w:rsidRPr="00CB2E10">
        <w:rPr>
          <w:rFonts w:ascii="Times New Roman" w:hAnsi="Times New Roman" w:cs="Times New Roman"/>
          <w:b/>
          <w:bCs/>
          <w:sz w:val="24"/>
          <w:szCs w:val="24"/>
        </w:rPr>
        <w:t>Засіб дезінфекційний "БактеріоДез софт" 1л з дозатором</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 "БактеріоДез пур" 1л з дозатором</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 "БактеріоДез софт" К/5000 мл</w:t>
      </w:r>
      <w:r w:rsidR="00CB2E10" w:rsidRPr="00CB2E10">
        <w:rPr>
          <w:rFonts w:ascii="Times New Roman" w:hAnsi="Times New Roman" w:cs="Times New Roman"/>
          <w:b/>
          <w:bCs/>
          <w:sz w:val="24"/>
          <w:szCs w:val="24"/>
          <w:lang w:val="uk-UA"/>
        </w:rPr>
        <w:t xml:space="preserve">; Засіб дезінфікуючий "Біолюфт </w:t>
      </w:r>
      <w:r w:rsidR="00CB2E10" w:rsidRPr="00CB2E10">
        <w:rPr>
          <w:rFonts w:ascii="Times New Roman" w:hAnsi="Times New Roman" w:cs="Times New Roman"/>
          <w:b/>
          <w:bCs/>
          <w:sz w:val="24"/>
          <w:szCs w:val="24"/>
        </w:rPr>
        <w:t>CL</w:t>
      </w:r>
      <w:r w:rsidR="00CB2E10" w:rsidRPr="00CB2E10">
        <w:rPr>
          <w:rFonts w:ascii="Times New Roman" w:hAnsi="Times New Roman" w:cs="Times New Roman"/>
          <w:b/>
          <w:bCs/>
          <w:sz w:val="24"/>
          <w:szCs w:val="24"/>
          <w:lang w:val="uk-UA"/>
        </w:rPr>
        <w:t xml:space="preserve"> "(0,800 кг) з двома мірними ложками; Засіб дезінфекційний "Гігазім(</w:t>
      </w:r>
      <w:r w:rsidR="00CB2E10" w:rsidRPr="00CB2E10">
        <w:rPr>
          <w:rFonts w:ascii="Times New Roman" w:hAnsi="Times New Roman" w:cs="Times New Roman"/>
          <w:b/>
          <w:bCs/>
          <w:sz w:val="24"/>
          <w:szCs w:val="24"/>
        </w:rPr>
        <w:t>Gigazyme</w:t>
      </w:r>
      <w:r w:rsidR="00CB2E10" w:rsidRPr="00CB2E10">
        <w:rPr>
          <w:rFonts w:ascii="Times New Roman" w:hAnsi="Times New Roman" w:cs="Times New Roman"/>
          <w:b/>
          <w:bCs/>
          <w:sz w:val="24"/>
          <w:szCs w:val="24"/>
          <w:lang w:val="uk-UA"/>
        </w:rPr>
        <w:t xml:space="preserve">)" (2л); Засіб дезінфекційний  «термосепт® ED (thermosept® ED)» для дезінфекції, дезінфекції високого рівня та стерилізації 5л; </w:t>
      </w:r>
      <w:r w:rsidR="00CB2E10" w:rsidRPr="00CB2E10">
        <w:rPr>
          <w:rFonts w:ascii="Times New Roman" w:hAnsi="Times New Roman" w:cs="Times New Roman"/>
          <w:b/>
          <w:bCs/>
          <w:sz w:val="24"/>
          <w:szCs w:val="24"/>
        </w:rPr>
        <w:t>Засіб дезінфекційний БактеріоДез Інстру 1л</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дезінфекційний"Квартацид хлор актив"1 кг</w:t>
      </w:r>
      <w:r w:rsidR="00CB2E10" w:rsidRPr="00CB2E10">
        <w:rPr>
          <w:rFonts w:ascii="Times New Roman" w:hAnsi="Times New Roman" w:cs="Times New Roman"/>
          <w:b/>
          <w:bCs/>
          <w:sz w:val="24"/>
          <w:szCs w:val="24"/>
          <w:lang w:val="uk-UA"/>
        </w:rPr>
        <w:t xml:space="preserve">; </w:t>
      </w:r>
      <w:r w:rsidR="00CB2E10" w:rsidRPr="00CB2E10">
        <w:rPr>
          <w:rFonts w:ascii="Times New Roman" w:hAnsi="Times New Roman" w:cs="Times New Roman"/>
          <w:b/>
          <w:bCs/>
          <w:sz w:val="24"/>
          <w:szCs w:val="24"/>
        </w:rPr>
        <w:t>Засіб дезінфекційний "БактеріоДез екстра" 1л</w:t>
      </w:r>
      <w:r w:rsidR="00CB2E10" w:rsidRPr="00CB2E10">
        <w:rPr>
          <w:rFonts w:ascii="Times New Roman" w:hAnsi="Times New Roman" w:cs="Times New Roman"/>
          <w:b/>
          <w:bCs/>
          <w:sz w:val="24"/>
          <w:szCs w:val="24"/>
          <w:lang w:val="uk-UA"/>
        </w:rPr>
        <w:t>; Засіб дезінфекційний БактеріоДез квік вологі серветки з клапаном 100 штук)</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1308"/>
        <w:gridCol w:w="1276"/>
        <w:gridCol w:w="782"/>
        <w:gridCol w:w="2195"/>
        <w:gridCol w:w="2823"/>
        <w:gridCol w:w="1004"/>
      </w:tblGrid>
      <w:tr w:rsidR="00CB2E10" w:rsidRPr="009C216A" w14:paraId="67ADDEFE" w14:textId="77777777" w:rsidTr="00CB2E10">
        <w:tc>
          <w:tcPr>
            <w:tcW w:w="638" w:type="dxa"/>
            <w:vAlign w:val="center"/>
          </w:tcPr>
          <w:p w14:paraId="1332A9D5"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14:paraId="19AA1B3C"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1308" w:type="dxa"/>
            <w:vAlign w:val="center"/>
          </w:tcPr>
          <w:p w14:paraId="20052625"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14:paraId="00950C9F"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2977" w:type="dxa"/>
            <w:gridSpan w:val="2"/>
            <w:vAlign w:val="center"/>
          </w:tcPr>
          <w:p w14:paraId="7111E58F" w14:textId="77777777" w:rsidR="00CB2E10" w:rsidRPr="009C216A" w:rsidRDefault="00CB2E10"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3827" w:type="dxa"/>
            <w:gridSpan w:val="2"/>
            <w:vAlign w:val="center"/>
          </w:tcPr>
          <w:p w14:paraId="56A088D3" w14:textId="77777777" w:rsidR="00CB2E10" w:rsidRPr="009C216A" w:rsidRDefault="00CB2E10"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CB2E10" w:rsidRPr="009C216A" w14:paraId="3E5E2FA8" w14:textId="77777777" w:rsidTr="00CB2E10">
        <w:tc>
          <w:tcPr>
            <w:tcW w:w="638" w:type="dxa"/>
          </w:tcPr>
          <w:p w14:paraId="14509609"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72988FFD"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14:paraId="54CA742F"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14:paraId="75D81785"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7E0B5175"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3827" w:type="dxa"/>
            <w:gridSpan w:val="2"/>
          </w:tcPr>
          <w:p w14:paraId="1340F75C"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B2E10" w:rsidRPr="009C216A" w14:paraId="77813E4F" w14:textId="77777777" w:rsidTr="00CB2E10">
        <w:tc>
          <w:tcPr>
            <w:tcW w:w="638" w:type="dxa"/>
          </w:tcPr>
          <w:p w14:paraId="3E571274"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14:paraId="2D6BBE7D"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14:paraId="1A60F0E2"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14:paraId="1405DD3B"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14:paraId="4004CCB7"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3827" w:type="dxa"/>
            <w:gridSpan w:val="2"/>
          </w:tcPr>
          <w:p w14:paraId="132E6FBC" w14:textId="77777777" w:rsidR="00CB2E10" w:rsidRPr="009C216A" w:rsidRDefault="00CB2E10"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387828B2" w14:textId="77777777" w:rsidTr="00285078">
        <w:tc>
          <w:tcPr>
            <w:tcW w:w="11623" w:type="dxa"/>
            <w:gridSpan w:val="7"/>
          </w:tcPr>
          <w:p w14:paraId="344053B0" w14:textId="77777777"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14:paraId="22D74B80" w14:textId="77777777"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14:paraId="0370244A" w14:textId="77777777" w:rsidTr="002850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4"/>
          </w:tcPr>
          <w:p w14:paraId="74BDFB2B"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14:paraId="37599DE7"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14:paraId="16FEC071"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6296F44" w14:textId="77777777" w:rsidR="00D755FE" w:rsidRDefault="00D755FE" w:rsidP="00D755FE">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3E9E50BB"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A8BE548"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3E7E2B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1F114A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8B1BE15"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5D5F1B0"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BA5C069"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0D33CF5"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02D6616B" w14:textId="77777777" w:rsidR="00D755FE" w:rsidRDefault="00D755FE" w:rsidP="00D755FE">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563F440"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169E25CE"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4C1CFF44"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0F79ACB9"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49E3E097" w14:textId="77777777" w:rsidR="00D755FE" w:rsidRDefault="00D755FE" w:rsidP="00D755FE">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462BE137" w14:textId="77777777" w:rsidR="00D755FE"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03B0EA35" w14:textId="1C6BC516" w:rsidR="00A869E2" w:rsidRDefault="00D755FE" w:rsidP="00D755FE">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2"/>
          </w:tcPr>
          <w:p w14:paraId="3515993E" w14:textId="77777777"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18A4BCE3" w14:textId="77777777"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14:paraId="02EF1062"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85430C2" w14:textId="77777777"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40DF3BF3"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F0BAFF8"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E6A9D01"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B15F606"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48C02AD"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A4F46B2"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E57D5B6"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AAE5FB1"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7E99C218"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BB806C8"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0DE90E6F"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40DB81D4"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4010831F"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548325AF"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46499A38"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10AE228D"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002CCCAE" w14:textId="77777777"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347F"/>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C2174"/>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2E10"/>
    <w:rsid w:val="00CB66A3"/>
    <w:rsid w:val="00D01281"/>
    <w:rsid w:val="00D17AEE"/>
    <w:rsid w:val="00D66675"/>
    <w:rsid w:val="00D755FE"/>
    <w:rsid w:val="00DA165B"/>
    <w:rsid w:val="00E077C4"/>
    <w:rsid w:val="00E3248C"/>
    <w:rsid w:val="00E34B48"/>
    <w:rsid w:val="00E641F2"/>
    <w:rsid w:val="00EB0684"/>
    <w:rsid w:val="00F40971"/>
    <w:rsid w:val="00F61BCD"/>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70EA"/>
  <w15:docId w15:val="{4DBCBE06-4AC9-4898-9C6F-E63645B9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371298568">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0B1C-A6EE-4DE6-8677-742019DD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13055</Words>
  <Characters>7442</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94</cp:revision>
  <dcterms:created xsi:type="dcterms:W3CDTF">2020-04-28T12:00:00Z</dcterms:created>
  <dcterms:modified xsi:type="dcterms:W3CDTF">2024-04-16T12:56:00Z</dcterms:modified>
</cp:coreProperties>
</file>