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1E" w:rsidRPr="0019631E" w:rsidRDefault="0019631E" w:rsidP="0019631E">
      <w:pPr>
        <w:jc w:val="center"/>
        <w:rPr>
          <w:rFonts w:ascii="Times New Roman" w:hAnsi="Times New Roman"/>
          <w:b/>
          <w:bCs/>
          <w:sz w:val="28"/>
          <w:szCs w:val="28"/>
          <w:lang w:val="uk-UA"/>
        </w:rPr>
      </w:pPr>
      <w:r>
        <w:rPr>
          <w:rFonts w:ascii="Times New Roman" w:hAnsi="Times New Roman"/>
          <w:b/>
          <w:bCs/>
          <w:sz w:val="28"/>
          <w:szCs w:val="28"/>
          <w:lang w:val="uk-UA"/>
        </w:rPr>
        <w:t>Житомирська районна державна лікарня ветеринарної медицини</w:t>
      </w:r>
    </w:p>
    <w:p w:rsidR="0019631E" w:rsidRPr="00AC50E6" w:rsidRDefault="0019631E" w:rsidP="0019631E">
      <w:pPr>
        <w:jc w:val="right"/>
        <w:rPr>
          <w:rFonts w:ascii="Times New Roman" w:hAnsi="Times New Roman" w:cs="Times New Roman"/>
          <w:b/>
          <w:bCs/>
          <w:lang w:val="uk-UA"/>
        </w:rPr>
      </w:pPr>
    </w:p>
    <w:p w:rsidR="0019631E" w:rsidRPr="00AC50E6" w:rsidRDefault="0019631E" w:rsidP="0019631E">
      <w:pPr>
        <w:ind w:firstLine="6096"/>
        <w:rPr>
          <w:rFonts w:ascii="Times New Roman" w:eastAsia="Calibri" w:hAnsi="Times New Roman" w:cs="Times New Roman"/>
          <w:b/>
          <w:lang w:eastAsia="en-US"/>
        </w:rPr>
      </w:pPr>
      <w:r w:rsidRPr="00AC50E6">
        <w:rPr>
          <w:rFonts w:ascii="Times New Roman" w:eastAsia="Calibri" w:hAnsi="Times New Roman" w:cs="Times New Roman"/>
          <w:b/>
          <w:lang w:eastAsia="en-US"/>
        </w:rPr>
        <w:t>ЗАТВЕРДЖЕНО:</w:t>
      </w:r>
    </w:p>
    <w:p w:rsidR="0019631E" w:rsidRPr="00AC50E6" w:rsidRDefault="0019631E" w:rsidP="0019631E">
      <w:pPr>
        <w:ind w:firstLine="6096"/>
        <w:rPr>
          <w:rFonts w:ascii="Times New Roman" w:eastAsia="Calibri" w:hAnsi="Times New Roman" w:cs="Times New Roman"/>
          <w:b/>
          <w:lang w:eastAsia="en-US"/>
        </w:rPr>
      </w:pPr>
      <w:r w:rsidRPr="00AC50E6">
        <w:rPr>
          <w:rFonts w:ascii="Times New Roman" w:eastAsia="Calibri" w:hAnsi="Times New Roman" w:cs="Times New Roman"/>
          <w:b/>
          <w:lang w:eastAsia="en-US"/>
        </w:rPr>
        <w:t xml:space="preserve">рішенням </w:t>
      </w:r>
      <w:r w:rsidRPr="00AC50E6">
        <w:rPr>
          <w:rFonts w:ascii="Times New Roman" w:eastAsia="Calibri" w:hAnsi="Times New Roman" w:cs="Times New Roman"/>
          <w:b/>
          <w:lang w:val="uk-UA" w:eastAsia="en-US"/>
        </w:rPr>
        <w:t>уповноваженої особи</w:t>
      </w:r>
      <w:r w:rsidRPr="00AC50E6">
        <w:rPr>
          <w:rFonts w:ascii="Times New Roman" w:eastAsia="Calibri" w:hAnsi="Times New Roman" w:cs="Times New Roman"/>
          <w:b/>
          <w:lang w:eastAsia="en-US"/>
        </w:rPr>
        <w:t xml:space="preserve"> </w:t>
      </w:r>
    </w:p>
    <w:p w:rsidR="0019631E" w:rsidRPr="0019631E" w:rsidRDefault="0019631E" w:rsidP="0019631E">
      <w:pPr>
        <w:ind w:firstLine="6096"/>
        <w:rPr>
          <w:rFonts w:ascii="Times New Roman" w:eastAsia="Calibri" w:hAnsi="Times New Roman" w:cs="Times New Roman"/>
          <w:b/>
          <w:lang w:val="uk-UA" w:eastAsia="en-US"/>
        </w:rPr>
      </w:pPr>
      <w:r w:rsidRPr="00AC50E6">
        <w:rPr>
          <w:rFonts w:ascii="Times New Roman" w:eastAsia="Calibri" w:hAnsi="Times New Roman" w:cs="Times New Roman"/>
          <w:b/>
          <w:lang w:eastAsia="en-US"/>
        </w:rPr>
        <w:t>від «</w:t>
      </w:r>
      <w:r>
        <w:rPr>
          <w:rFonts w:ascii="Times New Roman" w:eastAsia="Calibri" w:hAnsi="Times New Roman" w:cs="Times New Roman"/>
          <w:b/>
          <w:lang w:val="uk-UA" w:eastAsia="en-US"/>
        </w:rPr>
        <w:t>18</w:t>
      </w:r>
      <w:r w:rsidRPr="00AC50E6">
        <w:rPr>
          <w:rFonts w:ascii="Times New Roman" w:eastAsia="Calibri" w:hAnsi="Times New Roman" w:cs="Times New Roman"/>
          <w:b/>
          <w:lang w:eastAsia="en-US"/>
        </w:rPr>
        <w:t xml:space="preserve">» </w:t>
      </w:r>
      <w:r>
        <w:rPr>
          <w:rFonts w:ascii="Times New Roman" w:eastAsia="Calibri" w:hAnsi="Times New Roman" w:cs="Times New Roman"/>
          <w:b/>
          <w:lang w:val="uk-UA" w:eastAsia="en-US"/>
        </w:rPr>
        <w:t>серпня</w:t>
      </w:r>
      <w:r w:rsidRPr="00AC50E6">
        <w:rPr>
          <w:rFonts w:ascii="Times New Roman" w:eastAsia="Calibri" w:hAnsi="Times New Roman" w:cs="Times New Roman"/>
          <w:b/>
          <w:lang w:val="uk-UA" w:eastAsia="en-US"/>
        </w:rPr>
        <w:t xml:space="preserve"> </w:t>
      </w:r>
      <w:r w:rsidRPr="00AC50E6">
        <w:rPr>
          <w:rFonts w:ascii="Times New Roman" w:eastAsia="Calibri" w:hAnsi="Times New Roman" w:cs="Times New Roman"/>
          <w:b/>
          <w:lang w:eastAsia="en-US"/>
        </w:rPr>
        <w:t>20</w:t>
      </w:r>
      <w:r w:rsidRPr="00AC50E6">
        <w:rPr>
          <w:rFonts w:ascii="Times New Roman" w:eastAsia="Calibri" w:hAnsi="Times New Roman" w:cs="Times New Roman"/>
          <w:b/>
          <w:lang w:val="uk-UA" w:eastAsia="en-US"/>
        </w:rPr>
        <w:t>22</w:t>
      </w:r>
      <w:r w:rsidRPr="00AC50E6">
        <w:rPr>
          <w:rFonts w:ascii="Times New Roman" w:eastAsia="Calibri" w:hAnsi="Times New Roman" w:cs="Times New Roman"/>
          <w:b/>
          <w:lang w:eastAsia="en-US"/>
        </w:rPr>
        <w:t xml:space="preserve"> р.</w:t>
      </w:r>
    </w:p>
    <w:p w:rsidR="0019631E" w:rsidRPr="0019631E" w:rsidRDefault="0019631E" w:rsidP="0019631E">
      <w:pPr>
        <w:ind w:firstLine="6096"/>
        <w:rPr>
          <w:rFonts w:ascii="Times New Roman" w:eastAsia="Calibri" w:hAnsi="Times New Roman" w:cs="Times New Roman"/>
          <w:b/>
          <w:lang w:val="uk-UA" w:eastAsia="en-US"/>
        </w:rPr>
      </w:pPr>
      <w:r w:rsidRPr="00AC50E6">
        <w:rPr>
          <w:rFonts w:ascii="Times New Roman" w:eastAsia="Calibri" w:hAnsi="Times New Roman" w:cs="Times New Roman"/>
          <w:b/>
          <w:lang w:val="uk-UA" w:eastAsia="en-US"/>
        </w:rPr>
        <w:t>Уповноважена особа замовника</w:t>
      </w:r>
    </w:p>
    <w:p w:rsidR="0019631E" w:rsidRPr="00954285" w:rsidRDefault="0019631E" w:rsidP="0019631E">
      <w:pPr>
        <w:ind w:firstLine="6096"/>
        <w:jc w:val="center"/>
        <w:rPr>
          <w:rFonts w:ascii="Times New Roman" w:hAnsi="Times New Roman" w:cs="Times New Roman"/>
          <w:b/>
          <w:bCs/>
          <w:sz w:val="32"/>
          <w:szCs w:val="32"/>
          <w:lang w:val="uk-UA" w:eastAsia="uk-UA"/>
        </w:rPr>
      </w:pPr>
      <w:r>
        <w:rPr>
          <w:rFonts w:ascii="Times New Roman" w:eastAsia="Calibri" w:hAnsi="Times New Roman" w:cs="Times New Roman"/>
          <w:b/>
          <w:lang w:val="uk-UA" w:eastAsia="en-US"/>
        </w:rPr>
        <w:t xml:space="preserve">  </w:t>
      </w:r>
      <w:r w:rsidRPr="00AC50E6">
        <w:rPr>
          <w:rFonts w:ascii="Times New Roman" w:eastAsia="Calibri" w:hAnsi="Times New Roman" w:cs="Times New Roman"/>
          <w:b/>
          <w:lang w:eastAsia="en-US"/>
        </w:rPr>
        <w:t>________</w:t>
      </w:r>
      <w:r>
        <w:rPr>
          <w:rFonts w:ascii="Times New Roman" w:eastAsia="Calibri" w:hAnsi="Times New Roman" w:cs="Times New Roman"/>
          <w:b/>
          <w:lang w:val="uk-UA" w:eastAsia="en-US"/>
        </w:rPr>
        <w:t>Галина ДОБРОЛЕЖА</w:t>
      </w:r>
    </w:p>
    <w:p w:rsidR="0019631E" w:rsidRPr="00AC50E6" w:rsidRDefault="0019631E" w:rsidP="0019631E">
      <w:pPr>
        <w:rPr>
          <w:rFonts w:ascii="Times New Roman" w:hAnsi="Times New Roman" w:cs="Times New Roman"/>
          <w:b/>
          <w:bCs/>
          <w:sz w:val="32"/>
          <w:szCs w:val="32"/>
          <w:lang w:val="uk-UA" w:eastAsia="uk-UA"/>
        </w:rPr>
      </w:pPr>
    </w:p>
    <w:p w:rsidR="0019631E" w:rsidRPr="00AC50E6" w:rsidRDefault="0019631E" w:rsidP="0019631E">
      <w:pPr>
        <w:jc w:val="center"/>
        <w:rPr>
          <w:rFonts w:ascii="Times New Roman" w:hAnsi="Times New Roman" w:cs="Times New Roman"/>
          <w:b/>
          <w:bCs/>
          <w:sz w:val="32"/>
          <w:szCs w:val="32"/>
          <w:lang w:val="uk-UA"/>
        </w:rPr>
      </w:pPr>
      <w:r w:rsidRPr="00AC50E6">
        <w:rPr>
          <w:rFonts w:ascii="Times New Roman" w:hAnsi="Times New Roman" w:cs="Times New Roman"/>
          <w:b/>
          <w:bCs/>
          <w:sz w:val="32"/>
          <w:szCs w:val="32"/>
          <w:lang w:val="uk-UA"/>
        </w:rPr>
        <w:t>ОГОЛОШЕННЯ</w:t>
      </w:r>
    </w:p>
    <w:p w:rsidR="0019631E" w:rsidRPr="00AC50E6" w:rsidRDefault="0019631E" w:rsidP="0019631E">
      <w:pPr>
        <w:jc w:val="center"/>
        <w:rPr>
          <w:b/>
          <w:sz w:val="32"/>
          <w:szCs w:val="32"/>
        </w:rPr>
      </w:pPr>
      <w:r w:rsidRPr="00AC50E6">
        <w:rPr>
          <w:b/>
          <w:sz w:val="32"/>
          <w:szCs w:val="32"/>
        </w:rPr>
        <w:t>ПРО ПРОВЕДЕННЯ</w:t>
      </w:r>
    </w:p>
    <w:p w:rsidR="0019631E" w:rsidRPr="00AC50E6" w:rsidRDefault="0019631E" w:rsidP="0019631E">
      <w:pPr>
        <w:jc w:val="center"/>
        <w:rPr>
          <w:b/>
          <w:sz w:val="44"/>
          <w:szCs w:val="44"/>
        </w:rPr>
      </w:pPr>
      <w:r w:rsidRPr="00AC50E6">
        <w:rPr>
          <w:b/>
          <w:sz w:val="32"/>
          <w:szCs w:val="32"/>
        </w:rPr>
        <w:t>СПРОЩЕНОЇ ЗАКУПІВЛІ</w:t>
      </w:r>
    </w:p>
    <w:p w:rsidR="0019631E" w:rsidRPr="00AC50E6" w:rsidRDefault="0019631E" w:rsidP="0019631E">
      <w:pPr>
        <w:jc w:val="center"/>
        <w:rPr>
          <w:rFonts w:ascii="Times New Roman" w:hAnsi="Times New Roman" w:cs="Times New Roman"/>
          <w:b/>
          <w:bCs/>
          <w:sz w:val="32"/>
          <w:szCs w:val="32"/>
          <w:lang w:val="uk-UA"/>
        </w:rPr>
      </w:pPr>
    </w:p>
    <w:p w:rsidR="0019631E" w:rsidRPr="00AC50E6" w:rsidRDefault="0019631E" w:rsidP="0019631E">
      <w:pPr>
        <w:jc w:val="center"/>
        <w:rPr>
          <w:rFonts w:ascii="Times New Roman" w:hAnsi="Times New Roman" w:cs="Times New Roman"/>
          <w:sz w:val="28"/>
          <w:szCs w:val="28"/>
          <w:lang w:val="uk-UA"/>
        </w:rPr>
      </w:pPr>
      <w:r w:rsidRPr="00AC50E6">
        <w:rPr>
          <w:rFonts w:ascii="Times New Roman" w:hAnsi="Times New Roman" w:cs="Times New Roman"/>
          <w:b/>
          <w:sz w:val="28"/>
          <w:szCs w:val="28"/>
          <w:lang w:val="uk-UA" w:eastAsia="uk-UA"/>
        </w:rPr>
        <w:t xml:space="preserve">щодо закупівлі </w:t>
      </w:r>
      <w:r w:rsidRPr="00AC50E6">
        <w:rPr>
          <w:rFonts w:ascii="Times New Roman" w:hAnsi="Times New Roman" w:cs="Times New Roman"/>
          <w:b/>
          <w:sz w:val="28"/>
          <w:szCs w:val="28"/>
          <w:lang w:val="uk-UA"/>
        </w:rPr>
        <w:t>товару</w:t>
      </w:r>
      <w:r w:rsidRPr="00AC50E6">
        <w:rPr>
          <w:rFonts w:ascii="Times New Roman" w:hAnsi="Times New Roman" w:cs="Times New Roman"/>
          <w:sz w:val="28"/>
          <w:szCs w:val="28"/>
          <w:lang w:val="uk-UA"/>
        </w:rPr>
        <w:t xml:space="preserve">: </w:t>
      </w:r>
    </w:p>
    <w:p w:rsidR="0019631E" w:rsidRPr="00AC50E6" w:rsidRDefault="0019631E" w:rsidP="0019631E">
      <w:pPr>
        <w:shd w:val="clear" w:color="auto" w:fill="FFFFFA"/>
        <w:jc w:val="center"/>
        <w:rPr>
          <w:bCs/>
          <w:sz w:val="32"/>
          <w:szCs w:val="32"/>
          <w:lang w:val="uk-UA"/>
        </w:rPr>
      </w:pPr>
      <w:r w:rsidRPr="00AC50E6">
        <w:rPr>
          <w:b/>
          <w:sz w:val="32"/>
          <w:szCs w:val="32"/>
        </w:rPr>
        <w:t>Бланки ветеринарних документів</w:t>
      </w:r>
      <w:r w:rsidRPr="00AC50E6">
        <w:rPr>
          <w:bCs/>
          <w:sz w:val="32"/>
          <w:szCs w:val="32"/>
        </w:rPr>
        <w:t xml:space="preserve"> </w:t>
      </w:r>
    </w:p>
    <w:p w:rsidR="0019631E" w:rsidRPr="00AC50E6" w:rsidRDefault="0019631E" w:rsidP="0019631E">
      <w:pPr>
        <w:shd w:val="clear" w:color="auto" w:fill="FFFFFA"/>
        <w:jc w:val="center"/>
        <w:rPr>
          <w:bCs/>
          <w:sz w:val="16"/>
          <w:szCs w:val="16"/>
          <w:lang w:val="uk-UA"/>
        </w:rPr>
      </w:pPr>
    </w:p>
    <w:p w:rsidR="0019631E" w:rsidRPr="0019631E" w:rsidRDefault="0019631E" w:rsidP="0019631E">
      <w:pPr>
        <w:shd w:val="clear" w:color="auto" w:fill="FFFFFA"/>
        <w:jc w:val="center"/>
        <w:rPr>
          <w:rFonts w:ascii="Times New Roman" w:hAnsi="Times New Roman" w:cs="Times New Roman"/>
          <w:b/>
          <w:i/>
          <w:sz w:val="28"/>
          <w:szCs w:val="28"/>
          <w:lang w:val="uk-UA"/>
        </w:rPr>
      </w:pPr>
      <w:r w:rsidRPr="00AC50E6">
        <w:rPr>
          <w:rFonts w:ascii="Times New Roman" w:hAnsi="Times New Roman" w:cs="Times New Roman"/>
          <w:b/>
          <w:i/>
          <w:sz w:val="28"/>
          <w:szCs w:val="28"/>
          <w:lang w:val="uk-UA"/>
        </w:rPr>
        <w:t xml:space="preserve">( Код ДК 021:2015 – </w:t>
      </w:r>
      <w:r w:rsidRPr="00AC50E6">
        <w:rPr>
          <w:rFonts w:ascii="Times New Roman" w:hAnsi="Times New Roman" w:cs="Times New Roman"/>
          <w:b/>
          <w:i/>
          <w:sz w:val="28"/>
          <w:szCs w:val="28"/>
        </w:rPr>
        <w:t>22450000-9 — Друкована продукція з елементами захисту</w:t>
      </w:r>
      <w:r w:rsidRPr="00AC50E6">
        <w:rPr>
          <w:rFonts w:ascii="Times New Roman" w:hAnsi="Times New Roman" w:cs="Times New Roman"/>
          <w:b/>
          <w:i/>
          <w:sz w:val="28"/>
          <w:szCs w:val="28"/>
          <w:lang w:val="uk-UA"/>
        </w:rPr>
        <w:t>)</w:t>
      </w:r>
    </w:p>
    <w:p w:rsidR="0019631E" w:rsidRPr="00AC50E6" w:rsidRDefault="0019631E" w:rsidP="0019631E">
      <w:pPr>
        <w:shd w:val="clear" w:color="auto" w:fill="FFFFFA"/>
        <w:rPr>
          <w:rFonts w:ascii="Times New Roman" w:hAnsi="Times New Roman" w:cs="Times New Roman"/>
          <w:b/>
          <w:bCs/>
          <w:lang w:val="uk-UA" w:eastAsia="uk-UA"/>
        </w:rPr>
      </w:pPr>
    </w:p>
    <w:p w:rsidR="0019631E" w:rsidRPr="00AC50E6" w:rsidRDefault="0019631E" w:rsidP="0019631E">
      <w:pPr>
        <w:shd w:val="clear" w:color="auto" w:fill="FFFFFA"/>
        <w:rPr>
          <w:rFonts w:ascii="Times New Roman" w:hAnsi="Times New Roman" w:cs="Times New Roman"/>
          <w:b/>
          <w:bCs/>
          <w:lang w:val="uk-UA" w:eastAsia="uk-UA"/>
        </w:rPr>
      </w:pPr>
    </w:p>
    <w:p w:rsidR="0019631E" w:rsidRPr="00AC50E6" w:rsidRDefault="0019631E" w:rsidP="0019631E">
      <w:pPr>
        <w:shd w:val="clear" w:color="auto" w:fill="FFFFFA"/>
        <w:rPr>
          <w:rFonts w:ascii="Times New Roman" w:hAnsi="Times New Roman" w:cs="Times New Roman"/>
          <w:b/>
          <w:bCs/>
          <w:lang w:val="uk-UA" w:eastAsia="uk-UA"/>
        </w:rPr>
      </w:pPr>
    </w:p>
    <w:p w:rsidR="0019631E" w:rsidRPr="00AC50E6" w:rsidRDefault="0019631E" w:rsidP="0019631E">
      <w:pPr>
        <w:shd w:val="clear" w:color="auto" w:fill="FFFFFA"/>
        <w:rPr>
          <w:rFonts w:ascii="Times New Roman" w:hAnsi="Times New Roman" w:cs="Times New Roman"/>
          <w:b/>
          <w:bCs/>
          <w:lang w:val="uk-UA" w:eastAsia="uk-UA"/>
        </w:rPr>
      </w:pPr>
    </w:p>
    <w:p w:rsidR="0019631E" w:rsidRPr="00AC50E6" w:rsidRDefault="0019631E" w:rsidP="0019631E">
      <w:pPr>
        <w:shd w:val="clear" w:color="auto" w:fill="FFFFFA"/>
        <w:rPr>
          <w:rFonts w:ascii="Times New Roman" w:hAnsi="Times New Roman" w:cs="Times New Roman"/>
          <w:b/>
          <w:bCs/>
          <w:lang w:val="uk-UA" w:eastAsia="uk-UA"/>
        </w:rPr>
      </w:pPr>
    </w:p>
    <w:p w:rsidR="0019631E" w:rsidRPr="00AC50E6" w:rsidRDefault="0019631E" w:rsidP="0019631E">
      <w:pPr>
        <w:rPr>
          <w:rFonts w:ascii="Times New Roman" w:eastAsia="Times" w:hAnsi="Times New Roman" w:cs="Times New Roman"/>
          <w:b/>
          <w:sz w:val="28"/>
          <w:szCs w:val="28"/>
          <w:lang w:val="uk-UA"/>
        </w:rPr>
      </w:pPr>
    </w:p>
    <w:p w:rsidR="0019631E" w:rsidRPr="00AC50E6" w:rsidRDefault="0019631E" w:rsidP="0019631E">
      <w:pPr>
        <w:jc w:val="center"/>
        <w:rPr>
          <w:rFonts w:ascii="Times New Roman" w:eastAsia="Times" w:hAnsi="Times New Roman" w:cs="Times New Roman"/>
          <w:b/>
          <w:sz w:val="28"/>
          <w:szCs w:val="28"/>
          <w:lang w:val="uk-UA"/>
        </w:rPr>
      </w:pPr>
    </w:p>
    <w:p w:rsidR="0019631E" w:rsidRPr="00AC50E6" w:rsidRDefault="0019631E" w:rsidP="0019631E">
      <w:pPr>
        <w:jc w:val="center"/>
        <w:rPr>
          <w:rFonts w:ascii="Times New Roman" w:eastAsia="Times" w:hAnsi="Times New Roman" w:cs="Times New Roman"/>
          <w:b/>
          <w:sz w:val="28"/>
          <w:szCs w:val="28"/>
          <w:lang w:val="uk-UA"/>
        </w:rPr>
      </w:pPr>
    </w:p>
    <w:p w:rsidR="0019631E" w:rsidRPr="00AC50E6" w:rsidRDefault="0019631E" w:rsidP="0019631E">
      <w:pPr>
        <w:jc w:val="center"/>
        <w:rPr>
          <w:rFonts w:ascii="Times New Roman" w:eastAsia="Times" w:hAnsi="Times New Roman" w:cs="Times New Roman"/>
          <w:b/>
          <w:sz w:val="28"/>
          <w:szCs w:val="28"/>
          <w:lang w:val="uk-UA"/>
        </w:rPr>
      </w:pPr>
      <w:r w:rsidRPr="00AC50E6">
        <w:rPr>
          <w:rFonts w:ascii="Times New Roman" w:eastAsia="Times" w:hAnsi="Times New Roman" w:cs="Times New Roman"/>
          <w:b/>
          <w:sz w:val="28"/>
          <w:szCs w:val="28"/>
          <w:lang w:val="uk-UA"/>
        </w:rPr>
        <w:t>м.</w:t>
      </w:r>
      <w:r>
        <w:rPr>
          <w:rFonts w:ascii="Times New Roman" w:eastAsia="Times" w:hAnsi="Times New Roman" w:cs="Times New Roman"/>
          <w:b/>
          <w:sz w:val="28"/>
          <w:szCs w:val="28"/>
          <w:lang w:val="uk-UA"/>
        </w:rPr>
        <w:t>Житомир</w:t>
      </w:r>
      <w:r w:rsidRPr="00AC50E6">
        <w:rPr>
          <w:rFonts w:ascii="Times New Roman" w:eastAsia="Times" w:hAnsi="Times New Roman" w:cs="Times New Roman"/>
          <w:b/>
          <w:sz w:val="28"/>
          <w:szCs w:val="28"/>
          <w:lang w:val="uk-UA"/>
        </w:rPr>
        <w:t xml:space="preserve"> </w:t>
      </w:r>
    </w:p>
    <w:p w:rsidR="0019631E" w:rsidRPr="0019631E" w:rsidRDefault="0019631E" w:rsidP="0019631E">
      <w:pPr>
        <w:jc w:val="center"/>
        <w:rPr>
          <w:rFonts w:ascii="Times New Roman" w:hAnsi="Times New Roman" w:cs="Times New Roman"/>
          <w:b/>
          <w:lang w:val="uk-UA"/>
        </w:rPr>
      </w:pPr>
      <w:r w:rsidRPr="00AC50E6">
        <w:rPr>
          <w:rFonts w:ascii="Times New Roman" w:hAnsi="Times New Roman" w:cs="Times New Roman"/>
          <w:b/>
        </w:rPr>
        <w:t>20</w:t>
      </w:r>
      <w:r w:rsidRPr="00AC50E6">
        <w:rPr>
          <w:rFonts w:ascii="Times New Roman" w:hAnsi="Times New Roman" w:cs="Times New Roman"/>
          <w:b/>
          <w:lang w:val="uk-UA"/>
        </w:rPr>
        <w:t>22 рік</w:t>
      </w:r>
      <w:r w:rsidRPr="00AC50E6">
        <w:rPr>
          <w:rFonts w:ascii="Times New Roman" w:hAnsi="Times New Roman" w:cs="Times New Roman"/>
          <w:b/>
          <w:bCs/>
          <w:lang w:val="uk-UA" w:eastAsia="uk-UA"/>
        </w:rPr>
        <w:br w:type="column"/>
      </w:r>
      <w:r w:rsidRPr="00AC50E6">
        <w:rPr>
          <w:rFonts w:ascii="Times New Roman" w:hAnsi="Times New Roman" w:cs="Times New Roman"/>
          <w:b/>
          <w:bCs/>
          <w:lang w:val="uk-UA" w:eastAsia="uk-UA"/>
        </w:rPr>
        <w:lastRenderedPageBreak/>
        <w:t>ІНСТРУКЦІЇ УЧАСНИКАМ СПРОЩЕНОЇ ЗАКУПІВЛІ</w:t>
      </w:r>
    </w:p>
    <w:tbl>
      <w:tblPr>
        <w:tblStyle w:val="a3"/>
        <w:tblW w:w="10348" w:type="dxa"/>
        <w:tblInd w:w="-572" w:type="dxa"/>
        <w:tblLayout w:type="fixed"/>
        <w:tblLook w:val="0000"/>
      </w:tblPr>
      <w:tblGrid>
        <w:gridCol w:w="709"/>
        <w:gridCol w:w="3686"/>
        <w:gridCol w:w="5953"/>
      </w:tblGrid>
      <w:tr w:rsidR="0019631E" w:rsidRPr="00AC50E6" w:rsidTr="00D05EA8">
        <w:tc>
          <w:tcPr>
            <w:tcW w:w="709" w:type="dxa"/>
          </w:tcPr>
          <w:p w:rsidR="0019631E" w:rsidRPr="00AC50E6" w:rsidRDefault="0019631E" w:rsidP="00D05EA8">
            <w:pPr>
              <w:jc w:val="center"/>
            </w:pPr>
            <w:r w:rsidRPr="00AC50E6">
              <w:t>N</w:t>
            </w:r>
          </w:p>
        </w:tc>
        <w:tc>
          <w:tcPr>
            <w:tcW w:w="9639" w:type="dxa"/>
            <w:gridSpan w:val="2"/>
          </w:tcPr>
          <w:p w:rsidR="0019631E" w:rsidRPr="00AC50E6" w:rsidRDefault="0019631E" w:rsidP="00D05EA8">
            <w:pPr>
              <w:jc w:val="center"/>
            </w:pPr>
            <w:r w:rsidRPr="00AC50E6">
              <w:t>Розділ 1. Загальні положення</w:t>
            </w:r>
          </w:p>
        </w:tc>
      </w:tr>
      <w:tr w:rsidR="0019631E" w:rsidRPr="00AC50E6" w:rsidTr="00D05EA8">
        <w:tc>
          <w:tcPr>
            <w:tcW w:w="709" w:type="dxa"/>
          </w:tcPr>
          <w:p w:rsidR="0019631E" w:rsidRPr="00AC50E6" w:rsidRDefault="0019631E" w:rsidP="00D05EA8">
            <w:pPr>
              <w:jc w:val="center"/>
            </w:pPr>
            <w:r w:rsidRPr="00AC50E6">
              <w:t>1.1</w:t>
            </w:r>
          </w:p>
        </w:tc>
        <w:tc>
          <w:tcPr>
            <w:tcW w:w="3686" w:type="dxa"/>
          </w:tcPr>
          <w:p w:rsidR="0019631E" w:rsidRPr="00AC50E6" w:rsidRDefault="0019631E" w:rsidP="00D05EA8">
            <w:r w:rsidRPr="00AC50E6">
              <w:rPr>
                <w:rFonts w:eastAsia="Calibri"/>
                <w:lang w:eastAsia="ru-RU"/>
              </w:rPr>
              <w:t>Терміни, які вживаються в оголошенні</w:t>
            </w:r>
          </w:p>
        </w:tc>
        <w:tc>
          <w:tcPr>
            <w:tcW w:w="5953" w:type="dxa"/>
          </w:tcPr>
          <w:p w:rsidR="0019631E" w:rsidRPr="00AC50E6" w:rsidRDefault="0019631E" w:rsidP="00D05EA8">
            <w:pPr>
              <w:jc w:val="both"/>
            </w:pPr>
            <w:r w:rsidRPr="00AC50E6">
              <w:rPr>
                <w:rFonts w:eastAsia="Calibri"/>
                <w:lang w:eastAsia="ru-RU"/>
              </w:rPr>
              <w:t xml:space="preserve">Оголошення на закупівлю розроблене на виконання вимог Закону України «Про публічні закупівлі» в редакції Закону № 114-IX від 19.09.2019 (далі – Закон). Терміни, які використовуються в ньому, вживаються в значеннях, визначених Законом. </w:t>
            </w:r>
          </w:p>
        </w:tc>
      </w:tr>
      <w:tr w:rsidR="0019631E" w:rsidRPr="00AC50E6" w:rsidTr="00D05EA8">
        <w:tc>
          <w:tcPr>
            <w:tcW w:w="709" w:type="dxa"/>
          </w:tcPr>
          <w:p w:rsidR="0019631E" w:rsidRPr="00AC50E6" w:rsidRDefault="0019631E" w:rsidP="00D05EA8">
            <w:pPr>
              <w:jc w:val="center"/>
            </w:pPr>
            <w:r w:rsidRPr="00AC50E6">
              <w:t>1.2</w:t>
            </w:r>
          </w:p>
        </w:tc>
        <w:tc>
          <w:tcPr>
            <w:tcW w:w="3686" w:type="dxa"/>
          </w:tcPr>
          <w:p w:rsidR="0019631E" w:rsidRPr="00AC50E6" w:rsidRDefault="0019631E" w:rsidP="00D05EA8">
            <w:r w:rsidRPr="00AC50E6">
              <w:t>Інформація про замовника торгів</w:t>
            </w:r>
          </w:p>
        </w:tc>
        <w:tc>
          <w:tcPr>
            <w:tcW w:w="5953" w:type="dxa"/>
          </w:tcPr>
          <w:p w:rsidR="0019631E" w:rsidRPr="00AC50E6" w:rsidRDefault="0019631E" w:rsidP="00D05EA8">
            <w:r w:rsidRPr="00AC50E6">
              <w:t> </w:t>
            </w:r>
          </w:p>
        </w:tc>
      </w:tr>
      <w:tr w:rsidR="0019631E" w:rsidRPr="00AC50E6" w:rsidTr="00D05EA8">
        <w:tc>
          <w:tcPr>
            <w:tcW w:w="709" w:type="dxa"/>
          </w:tcPr>
          <w:p w:rsidR="0019631E" w:rsidRPr="00AC50E6" w:rsidRDefault="0019631E" w:rsidP="00D05EA8">
            <w:pPr>
              <w:jc w:val="center"/>
            </w:pPr>
            <w:r w:rsidRPr="00AC50E6">
              <w:t>1.2.1</w:t>
            </w:r>
          </w:p>
        </w:tc>
        <w:tc>
          <w:tcPr>
            <w:tcW w:w="3686" w:type="dxa"/>
          </w:tcPr>
          <w:p w:rsidR="0019631E" w:rsidRPr="00AC50E6" w:rsidRDefault="0019631E" w:rsidP="00D05EA8">
            <w:r w:rsidRPr="00AC50E6">
              <w:t>повне найменування</w:t>
            </w:r>
          </w:p>
        </w:tc>
        <w:tc>
          <w:tcPr>
            <w:tcW w:w="5953" w:type="dxa"/>
            <w:vAlign w:val="center"/>
          </w:tcPr>
          <w:p w:rsidR="0019631E" w:rsidRPr="00AC50E6" w:rsidRDefault="0019631E" w:rsidP="00D05EA8">
            <w:pPr>
              <w:shd w:val="clear" w:color="auto" w:fill="FFFFFF"/>
              <w:textAlignment w:val="baseline"/>
              <w:rPr>
                <w:b/>
                <w:lang w:eastAsia="ru-RU"/>
              </w:rPr>
            </w:pPr>
            <w:r>
              <w:rPr>
                <w:b/>
                <w:lang w:eastAsia="ru-RU"/>
              </w:rPr>
              <w:t>Житомирська районна державна лікарня ветеринарної медицини</w:t>
            </w:r>
          </w:p>
        </w:tc>
      </w:tr>
      <w:tr w:rsidR="0019631E" w:rsidRPr="00AC50E6" w:rsidTr="00D05EA8">
        <w:tc>
          <w:tcPr>
            <w:tcW w:w="709" w:type="dxa"/>
          </w:tcPr>
          <w:p w:rsidR="0019631E" w:rsidRPr="00AC50E6" w:rsidRDefault="0019631E" w:rsidP="00D05EA8">
            <w:pPr>
              <w:jc w:val="center"/>
            </w:pPr>
            <w:r w:rsidRPr="00AC50E6">
              <w:t>2.2</w:t>
            </w:r>
          </w:p>
        </w:tc>
        <w:tc>
          <w:tcPr>
            <w:tcW w:w="3686" w:type="dxa"/>
          </w:tcPr>
          <w:p w:rsidR="0019631E" w:rsidRPr="00AC50E6" w:rsidRDefault="0019631E" w:rsidP="00D05EA8">
            <w:pPr>
              <w:rPr>
                <w:shd w:val="clear" w:color="auto" w:fill="FFFFFF"/>
              </w:rPr>
            </w:pPr>
            <w:r w:rsidRPr="00AC50E6">
              <w:t>Місцезнаходження (адреса)</w:t>
            </w:r>
          </w:p>
        </w:tc>
        <w:tc>
          <w:tcPr>
            <w:tcW w:w="5953" w:type="dxa"/>
          </w:tcPr>
          <w:p w:rsidR="0019631E" w:rsidRPr="00AC50E6" w:rsidRDefault="0019631E" w:rsidP="00D05EA8">
            <w:pPr>
              <w:tabs>
                <w:tab w:val="left" w:pos="0"/>
                <w:tab w:val="left" w:pos="284"/>
                <w:tab w:val="left" w:pos="360"/>
              </w:tabs>
              <w:ind w:hanging="11"/>
              <w:rPr>
                <w:b/>
              </w:rPr>
            </w:pPr>
            <w:r>
              <w:rPr>
                <w:b/>
                <w:bCs/>
              </w:rPr>
              <w:t>вул..Покровська,56 м. Житомир   10003</w:t>
            </w:r>
          </w:p>
        </w:tc>
      </w:tr>
      <w:tr w:rsidR="0019631E" w:rsidRPr="00AC50E6" w:rsidTr="00D05EA8">
        <w:tc>
          <w:tcPr>
            <w:tcW w:w="709" w:type="dxa"/>
          </w:tcPr>
          <w:p w:rsidR="0019631E" w:rsidRPr="00AC50E6" w:rsidRDefault="0019631E" w:rsidP="00D05EA8">
            <w:pPr>
              <w:jc w:val="center"/>
            </w:pPr>
            <w:r w:rsidRPr="00AC50E6">
              <w:t>2.3</w:t>
            </w:r>
          </w:p>
        </w:tc>
        <w:tc>
          <w:tcPr>
            <w:tcW w:w="3686" w:type="dxa"/>
          </w:tcPr>
          <w:p w:rsidR="0019631E" w:rsidRPr="00AC50E6" w:rsidRDefault="0019631E" w:rsidP="00D05EA8">
            <w:r w:rsidRPr="00AC50E6">
              <w:t>Код ЄДРПОУ</w:t>
            </w:r>
          </w:p>
        </w:tc>
        <w:tc>
          <w:tcPr>
            <w:tcW w:w="5953" w:type="dxa"/>
          </w:tcPr>
          <w:p w:rsidR="0019631E" w:rsidRPr="00AC50E6" w:rsidRDefault="0019631E" w:rsidP="00D05EA8">
            <w:pPr>
              <w:jc w:val="both"/>
              <w:rPr>
                <w:rFonts w:ascii="Arial" w:hAnsi="Arial" w:cs="Arial"/>
                <w:b/>
              </w:rPr>
            </w:pPr>
            <w:r>
              <w:rPr>
                <w:b/>
              </w:rPr>
              <w:t>00698495</w:t>
            </w:r>
          </w:p>
        </w:tc>
      </w:tr>
      <w:tr w:rsidR="0019631E" w:rsidRPr="00AC50E6" w:rsidTr="00D05EA8">
        <w:tc>
          <w:tcPr>
            <w:tcW w:w="709" w:type="dxa"/>
          </w:tcPr>
          <w:p w:rsidR="0019631E" w:rsidRPr="00AC50E6" w:rsidRDefault="0019631E" w:rsidP="00D05EA8">
            <w:pPr>
              <w:jc w:val="center"/>
            </w:pPr>
            <w:r w:rsidRPr="00AC50E6">
              <w:t>2.4</w:t>
            </w:r>
          </w:p>
        </w:tc>
        <w:tc>
          <w:tcPr>
            <w:tcW w:w="3686" w:type="dxa"/>
          </w:tcPr>
          <w:p w:rsidR="0019631E" w:rsidRPr="00AC50E6" w:rsidRDefault="0019631E" w:rsidP="00D05EA8">
            <w:r w:rsidRPr="00AC50E6">
              <w:t>Категорія замовника</w:t>
            </w:r>
          </w:p>
        </w:tc>
        <w:tc>
          <w:tcPr>
            <w:tcW w:w="5953" w:type="dxa"/>
          </w:tcPr>
          <w:p w:rsidR="0019631E" w:rsidRPr="00AC50E6" w:rsidRDefault="0019631E" w:rsidP="00D05EA8">
            <w:pPr>
              <w:jc w:val="both"/>
              <w:rPr>
                <w:b/>
                <w:bCs/>
                <w:shd w:val="clear" w:color="auto" w:fill="FFFFFF"/>
              </w:rPr>
            </w:pPr>
            <w:r w:rsidRPr="00AC50E6">
              <w:rPr>
                <w:shd w:val="clear" w:color="auto" w:fill="FFFFFF"/>
              </w:rPr>
              <w:t xml:space="preserve">Юридична особа, яка забезпечує потреби держави або територіальної громади </w:t>
            </w:r>
          </w:p>
        </w:tc>
      </w:tr>
      <w:tr w:rsidR="0019631E" w:rsidRPr="00586BF7" w:rsidTr="00D05EA8">
        <w:tc>
          <w:tcPr>
            <w:tcW w:w="709" w:type="dxa"/>
          </w:tcPr>
          <w:p w:rsidR="0019631E" w:rsidRPr="00AC50E6" w:rsidRDefault="0019631E" w:rsidP="00D05EA8">
            <w:pPr>
              <w:jc w:val="center"/>
            </w:pPr>
            <w:r w:rsidRPr="00AC50E6">
              <w:t>2.5</w:t>
            </w:r>
          </w:p>
        </w:tc>
        <w:tc>
          <w:tcPr>
            <w:tcW w:w="3686" w:type="dxa"/>
          </w:tcPr>
          <w:p w:rsidR="0019631E" w:rsidRPr="00AC50E6" w:rsidRDefault="0019631E" w:rsidP="00D05EA8">
            <w:pPr>
              <w:rPr>
                <w:rFonts w:eastAsia="Calibri"/>
                <w:lang w:eastAsia="ru-RU"/>
              </w:rPr>
            </w:pPr>
            <w:r w:rsidRPr="00AC50E6">
              <w:rPr>
                <w:rFonts w:eastAsia="Calibri"/>
                <w:lang w:eastAsia="ru-RU"/>
              </w:rPr>
              <w:t>Прізвище, ім’я та по батькові, посада однієї чи кількох посадових осіб замовника, уповноважених здійснювати зв’язок з учасниками</w:t>
            </w:r>
          </w:p>
        </w:tc>
        <w:tc>
          <w:tcPr>
            <w:tcW w:w="5953" w:type="dxa"/>
          </w:tcPr>
          <w:p w:rsidR="0019631E" w:rsidRPr="00AC50E6" w:rsidRDefault="0019631E" w:rsidP="00D05EA8">
            <w:pPr>
              <w:tabs>
                <w:tab w:val="left" w:pos="0"/>
                <w:tab w:val="left" w:pos="9720"/>
              </w:tabs>
              <w:snapToGrid w:val="0"/>
              <w:ind w:firstLine="324"/>
              <w:jc w:val="both"/>
              <w:rPr>
                <w:b/>
              </w:rPr>
            </w:pPr>
            <w:r>
              <w:rPr>
                <w:b/>
              </w:rPr>
              <w:t>Добролежа Галина Василівна</w:t>
            </w:r>
            <w:r w:rsidRPr="00AC50E6">
              <w:rPr>
                <w:b/>
              </w:rPr>
              <w:t xml:space="preserve">–головний </w:t>
            </w:r>
            <w:r>
              <w:rPr>
                <w:b/>
              </w:rPr>
              <w:t>бухгалтер –уповноважена особа Житомирської районної державної лікарні ветеринарної медицини</w:t>
            </w:r>
          </w:p>
          <w:p w:rsidR="0019631E" w:rsidRPr="00AC50E6" w:rsidRDefault="0019631E" w:rsidP="00D05EA8">
            <w:pPr>
              <w:tabs>
                <w:tab w:val="left" w:pos="0"/>
                <w:tab w:val="left" w:pos="9720"/>
              </w:tabs>
              <w:snapToGrid w:val="0"/>
              <w:ind w:firstLine="123"/>
              <w:jc w:val="both"/>
              <w:rPr>
                <w:i/>
              </w:rPr>
            </w:pPr>
            <w:r w:rsidRPr="00AC50E6">
              <w:rPr>
                <w:i/>
              </w:rPr>
              <w:t xml:space="preserve">вул. </w:t>
            </w:r>
            <w:r>
              <w:rPr>
                <w:i/>
              </w:rPr>
              <w:t>Покровська,56</w:t>
            </w:r>
            <w:r w:rsidRPr="00AC50E6">
              <w:rPr>
                <w:i/>
              </w:rPr>
              <w:t xml:space="preserve">  м. </w:t>
            </w:r>
            <w:r>
              <w:rPr>
                <w:i/>
              </w:rPr>
              <w:t>Житомир</w:t>
            </w:r>
            <w:r w:rsidRPr="00AC50E6">
              <w:rPr>
                <w:i/>
              </w:rPr>
              <w:t>,</w:t>
            </w:r>
            <w:r>
              <w:rPr>
                <w:i/>
              </w:rPr>
              <w:t>10003</w:t>
            </w:r>
            <w:r w:rsidRPr="00AC50E6">
              <w:rPr>
                <w:i/>
              </w:rPr>
              <w:t xml:space="preserve">, </w:t>
            </w:r>
          </w:p>
          <w:p w:rsidR="0019631E" w:rsidRPr="00AC50E6" w:rsidRDefault="0019631E" w:rsidP="00D05EA8">
            <w:pPr>
              <w:tabs>
                <w:tab w:val="left" w:pos="0"/>
                <w:tab w:val="left" w:pos="9720"/>
              </w:tabs>
              <w:snapToGrid w:val="0"/>
              <w:ind w:firstLine="123"/>
              <w:jc w:val="both"/>
              <w:rPr>
                <w:i/>
              </w:rPr>
            </w:pPr>
            <w:r w:rsidRPr="00AC50E6">
              <w:rPr>
                <w:i/>
              </w:rPr>
              <w:t>тел. (</w:t>
            </w:r>
            <w:r>
              <w:rPr>
                <w:i/>
              </w:rPr>
              <w:t>0412</w:t>
            </w:r>
            <w:r w:rsidRPr="00AC50E6">
              <w:rPr>
                <w:i/>
              </w:rPr>
              <w:t>)-</w:t>
            </w:r>
            <w:r>
              <w:rPr>
                <w:i/>
              </w:rPr>
              <w:t>47-06-26</w:t>
            </w:r>
            <w:r w:rsidRPr="003466DA">
              <w:rPr>
                <w:i/>
              </w:rPr>
              <w:t>,</w:t>
            </w:r>
          </w:p>
          <w:p w:rsidR="0019631E" w:rsidRPr="00AC50E6" w:rsidRDefault="0019631E" w:rsidP="00D05EA8">
            <w:pPr>
              <w:jc w:val="both"/>
              <w:rPr>
                <w:rFonts w:eastAsia="Calibri"/>
                <w:bCs/>
                <w:lang w:eastAsia="ru-RU"/>
              </w:rPr>
            </w:pPr>
            <w:r w:rsidRPr="00AC50E6">
              <w:rPr>
                <w:i/>
                <w:lang w:val="en-US"/>
              </w:rPr>
              <w:t>e-mail:</w:t>
            </w:r>
            <w:bookmarkStart w:id="0" w:name="_Hlk508114946"/>
            <w:r w:rsidRPr="00AC50E6">
              <w:rPr>
                <w:i/>
                <w:lang w:val="en-US"/>
              </w:rPr>
              <w:t xml:space="preserve"> </w:t>
            </w:r>
            <w:r>
              <w:rPr>
                <w:i/>
                <w:lang w:val="en-US"/>
              </w:rPr>
              <w:t>vetzt@ukr.net</w:t>
            </w:r>
            <w:bookmarkEnd w:id="0"/>
          </w:p>
        </w:tc>
      </w:tr>
      <w:tr w:rsidR="0019631E" w:rsidRPr="00AC50E6" w:rsidTr="00D05EA8">
        <w:trPr>
          <w:trHeight w:val="992"/>
        </w:trPr>
        <w:tc>
          <w:tcPr>
            <w:tcW w:w="709" w:type="dxa"/>
          </w:tcPr>
          <w:p w:rsidR="0019631E" w:rsidRPr="00AC50E6" w:rsidRDefault="0019631E" w:rsidP="00D05EA8">
            <w:pPr>
              <w:jc w:val="center"/>
            </w:pPr>
            <w:r w:rsidRPr="00AC50E6">
              <w:t>2.6</w:t>
            </w:r>
          </w:p>
        </w:tc>
        <w:tc>
          <w:tcPr>
            <w:tcW w:w="3686" w:type="dxa"/>
          </w:tcPr>
          <w:p w:rsidR="0019631E" w:rsidRPr="00AC50E6" w:rsidRDefault="0019631E" w:rsidP="00D05EA8">
            <w:r w:rsidRPr="00AC50E6">
              <w:t xml:space="preserve">Назва предмета закупівлі </w:t>
            </w:r>
            <w:r w:rsidRPr="00AC50E6">
              <w:rPr>
                <w:rFonts w:eastAsia="Calibri"/>
                <w:lang w:eastAsia="ru-RU"/>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shd w:val="clear" w:color="auto" w:fill="FFFFFF" w:themeFill="background1"/>
          </w:tcPr>
          <w:p w:rsidR="0019631E" w:rsidRPr="00AC50E6" w:rsidRDefault="0019631E" w:rsidP="00D05EA8">
            <w:pPr>
              <w:autoSpaceDN w:val="0"/>
              <w:adjustRightInd w:val="0"/>
              <w:jc w:val="both"/>
              <w:rPr>
                <w:bCs/>
              </w:rPr>
            </w:pPr>
            <w:r w:rsidRPr="00AC50E6">
              <w:rPr>
                <w:b/>
              </w:rPr>
              <w:t>Бланки ветеринарних документів</w:t>
            </w:r>
            <w:r w:rsidRPr="00AC50E6">
              <w:rPr>
                <w:bCs/>
              </w:rPr>
              <w:t xml:space="preserve"> </w:t>
            </w:r>
          </w:p>
          <w:p w:rsidR="0019631E" w:rsidRPr="00AC50E6" w:rsidRDefault="0019631E" w:rsidP="00D05EA8">
            <w:pPr>
              <w:autoSpaceDN w:val="0"/>
              <w:adjustRightInd w:val="0"/>
              <w:jc w:val="both"/>
            </w:pPr>
            <w:r w:rsidRPr="00AC50E6">
              <w:rPr>
                <w:b/>
                <w:bCs/>
              </w:rPr>
              <w:t xml:space="preserve">Код </w:t>
            </w:r>
            <w:r w:rsidRPr="00AC50E6">
              <w:rPr>
                <w:b/>
              </w:rPr>
              <w:t>ДК 021:2015 – 22450000-9 — Друкована продукція з елементами захисту</w:t>
            </w:r>
          </w:p>
        </w:tc>
      </w:tr>
      <w:tr w:rsidR="0019631E" w:rsidRPr="00AC50E6" w:rsidTr="00D05EA8">
        <w:trPr>
          <w:trHeight w:val="992"/>
        </w:trPr>
        <w:tc>
          <w:tcPr>
            <w:tcW w:w="709" w:type="dxa"/>
          </w:tcPr>
          <w:p w:rsidR="0019631E" w:rsidRPr="00AC50E6" w:rsidRDefault="0019631E" w:rsidP="00D05EA8">
            <w:pPr>
              <w:jc w:val="center"/>
            </w:pPr>
            <w:r w:rsidRPr="00AC50E6">
              <w:t>2.7</w:t>
            </w:r>
          </w:p>
        </w:tc>
        <w:tc>
          <w:tcPr>
            <w:tcW w:w="3686" w:type="dxa"/>
          </w:tcPr>
          <w:p w:rsidR="0019631E" w:rsidRPr="00AC50E6" w:rsidRDefault="0019631E" w:rsidP="00D05EA8">
            <w:pPr>
              <w:rPr>
                <w:rFonts w:eastAsia="Calibri"/>
                <w:lang w:eastAsia="ru-RU"/>
              </w:rPr>
            </w:pPr>
            <w:r w:rsidRPr="00AC50E6">
              <w:t>опис окремої частини (частин) предмета закупівлі (лота), щодо якої можуть бути подані пропозиції</w:t>
            </w:r>
          </w:p>
        </w:tc>
        <w:tc>
          <w:tcPr>
            <w:tcW w:w="5953" w:type="dxa"/>
          </w:tcPr>
          <w:p w:rsidR="0019631E" w:rsidRPr="00AC50E6" w:rsidRDefault="0019631E" w:rsidP="00D05EA8">
            <w:pPr>
              <w:autoSpaceDN w:val="0"/>
              <w:adjustRightInd w:val="0"/>
              <w:jc w:val="both"/>
              <w:rPr>
                <w:rFonts w:eastAsia="Calibri"/>
                <w:lang w:eastAsia="ru-RU"/>
              </w:rPr>
            </w:pPr>
            <w:r w:rsidRPr="00AC50E6">
              <w:rPr>
                <w:rFonts w:eastAsia="Calibri"/>
                <w:lang w:eastAsia="ru-RU"/>
              </w:rPr>
              <w:t>оголошенням про проведення спрощеної закупівлі не передбачено поділ предмета закупівлі на лоти</w:t>
            </w:r>
          </w:p>
          <w:p w:rsidR="0019631E" w:rsidRPr="00AC50E6" w:rsidRDefault="0019631E" w:rsidP="00D05EA8">
            <w:pPr>
              <w:autoSpaceDN w:val="0"/>
              <w:adjustRightInd w:val="0"/>
              <w:jc w:val="both"/>
              <w:rPr>
                <w:rFonts w:eastAsia="Calibri"/>
                <w:lang w:eastAsia="ru-RU"/>
              </w:rPr>
            </w:pPr>
          </w:p>
        </w:tc>
      </w:tr>
      <w:tr w:rsidR="0019631E" w:rsidRPr="00AC50E6" w:rsidTr="00D05EA8">
        <w:trPr>
          <w:trHeight w:val="992"/>
        </w:trPr>
        <w:tc>
          <w:tcPr>
            <w:tcW w:w="709" w:type="dxa"/>
          </w:tcPr>
          <w:p w:rsidR="0019631E" w:rsidRPr="00AC50E6" w:rsidRDefault="0019631E" w:rsidP="00D05EA8">
            <w:pPr>
              <w:jc w:val="center"/>
            </w:pPr>
            <w:r w:rsidRPr="00AC50E6">
              <w:t>2.8</w:t>
            </w:r>
          </w:p>
        </w:tc>
        <w:tc>
          <w:tcPr>
            <w:tcW w:w="3686" w:type="dxa"/>
          </w:tcPr>
          <w:p w:rsidR="0019631E" w:rsidRPr="00AC50E6" w:rsidRDefault="0019631E" w:rsidP="00D05EA8">
            <w:pPr>
              <w:rPr>
                <w:rFonts w:eastAsia="Calibri"/>
                <w:lang w:eastAsia="ru-RU"/>
              </w:rPr>
            </w:pPr>
            <w:r w:rsidRPr="00AC50E6">
              <w:rPr>
                <w:rFonts w:eastAsia="Calibri"/>
                <w:lang w:eastAsia="ru-RU"/>
              </w:rPr>
              <w:t>інформація про технічні, якісні та інші характеристики предмета закупівлі;</w:t>
            </w:r>
          </w:p>
        </w:tc>
        <w:tc>
          <w:tcPr>
            <w:tcW w:w="5953" w:type="dxa"/>
          </w:tcPr>
          <w:p w:rsidR="0019631E" w:rsidRPr="00AC50E6" w:rsidRDefault="0019631E" w:rsidP="00D05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eastAsia="ru-RU"/>
              </w:rPr>
            </w:pPr>
            <w:r w:rsidRPr="00AC50E6">
              <w:rPr>
                <w:rFonts w:eastAsia="Calibri"/>
                <w:lang w:eastAsia="ru-RU"/>
              </w:rPr>
              <w:t xml:space="preserve">відповідно до </w:t>
            </w:r>
            <w:r w:rsidRPr="00AC50E6">
              <w:t>технічних вимог</w:t>
            </w:r>
            <w:r w:rsidRPr="00AC50E6">
              <w:rPr>
                <w:rFonts w:eastAsia="Calibri"/>
                <w:lang w:eastAsia="ru-RU"/>
              </w:rPr>
              <w:t xml:space="preserve"> (згідно з Додатком № 3)</w:t>
            </w:r>
          </w:p>
        </w:tc>
      </w:tr>
      <w:tr w:rsidR="0019631E" w:rsidRPr="00AC50E6" w:rsidTr="00D05EA8">
        <w:tc>
          <w:tcPr>
            <w:tcW w:w="709" w:type="dxa"/>
          </w:tcPr>
          <w:p w:rsidR="0019631E" w:rsidRPr="00AC50E6" w:rsidRDefault="0019631E" w:rsidP="00D05EA8">
            <w:pPr>
              <w:jc w:val="center"/>
            </w:pPr>
            <w:r w:rsidRPr="00AC50E6">
              <w:t>2.9</w:t>
            </w:r>
          </w:p>
        </w:tc>
        <w:tc>
          <w:tcPr>
            <w:tcW w:w="3686" w:type="dxa"/>
          </w:tcPr>
          <w:p w:rsidR="0019631E" w:rsidRPr="00AC50E6" w:rsidRDefault="0019631E" w:rsidP="00D05EA8">
            <w:r w:rsidRPr="00AC50E6">
              <w:rPr>
                <w:rFonts w:eastAsia="Calibri"/>
                <w:lang w:eastAsia="ru-RU"/>
              </w:rPr>
              <w:t>кількість та місце поставки товарів або обсяг і місце виконання робіт чи надання послуг</w:t>
            </w:r>
          </w:p>
        </w:tc>
        <w:tc>
          <w:tcPr>
            <w:tcW w:w="5953" w:type="dxa"/>
          </w:tcPr>
          <w:p w:rsidR="0019631E" w:rsidRPr="00AC50E6" w:rsidRDefault="0019631E" w:rsidP="00D05EA8">
            <w:pPr>
              <w:pStyle w:val="HTML"/>
              <w:widowControl w:val="0"/>
              <w:ind w:right="113" w:hanging="2"/>
              <w:rPr>
                <w:rFonts w:ascii="Times New Roman" w:hAnsi="Times New Roman"/>
                <w:sz w:val="24"/>
                <w:szCs w:val="24"/>
              </w:rPr>
            </w:pPr>
            <w:r w:rsidRPr="00AC50E6">
              <w:rPr>
                <w:rFonts w:ascii="Times New Roman" w:hAnsi="Times New Roman"/>
                <w:b/>
                <w:sz w:val="24"/>
                <w:szCs w:val="24"/>
              </w:rPr>
              <w:t>Місце поставки:</w:t>
            </w:r>
            <w:r w:rsidRPr="00AC50E6">
              <w:rPr>
                <w:rFonts w:ascii="Times New Roman" w:hAnsi="Times New Roman"/>
                <w:sz w:val="24"/>
                <w:szCs w:val="24"/>
              </w:rPr>
              <w:t xml:space="preserve"> </w:t>
            </w:r>
            <w:r w:rsidRPr="00AC50E6">
              <w:rPr>
                <w:rFonts w:ascii="Times New Roman" w:hAnsi="Times New Roman"/>
                <w:i/>
                <w:sz w:val="24"/>
                <w:szCs w:val="24"/>
                <w:lang w:eastAsia="uk-UA"/>
              </w:rPr>
              <w:t xml:space="preserve">вул. </w:t>
            </w:r>
            <w:r>
              <w:rPr>
                <w:rFonts w:ascii="Times New Roman" w:hAnsi="Times New Roman"/>
                <w:i/>
                <w:sz w:val="24"/>
                <w:szCs w:val="24"/>
                <w:lang w:eastAsia="uk-UA"/>
              </w:rPr>
              <w:t>Покровська,56</w:t>
            </w:r>
            <w:r w:rsidRPr="00AC50E6">
              <w:rPr>
                <w:rFonts w:ascii="Times New Roman" w:hAnsi="Times New Roman"/>
                <w:i/>
                <w:sz w:val="24"/>
                <w:szCs w:val="24"/>
                <w:lang w:eastAsia="uk-UA"/>
              </w:rPr>
              <w:t xml:space="preserve">  м. </w:t>
            </w:r>
            <w:r>
              <w:rPr>
                <w:rFonts w:ascii="Times New Roman" w:hAnsi="Times New Roman"/>
                <w:i/>
                <w:sz w:val="24"/>
                <w:szCs w:val="24"/>
                <w:lang w:eastAsia="uk-UA"/>
              </w:rPr>
              <w:t>Житомир</w:t>
            </w:r>
            <w:r w:rsidRPr="00AC50E6">
              <w:rPr>
                <w:rFonts w:ascii="Times New Roman" w:hAnsi="Times New Roman"/>
                <w:i/>
                <w:sz w:val="24"/>
                <w:szCs w:val="24"/>
                <w:lang w:eastAsia="uk-UA"/>
              </w:rPr>
              <w:t xml:space="preserve">, </w:t>
            </w:r>
            <w:r>
              <w:rPr>
                <w:rFonts w:ascii="Times New Roman" w:hAnsi="Times New Roman"/>
                <w:i/>
                <w:sz w:val="24"/>
                <w:szCs w:val="24"/>
                <w:lang w:eastAsia="uk-UA"/>
              </w:rPr>
              <w:t>10003</w:t>
            </w:r>
          </w:p>
          <w:p w:rsidR="0019631E" w:rsidRPr="00AC50E6" w:rsidRDefault="0019631E" w:rsidP="00D05EA8">
            <w:pPr>
              <w:pStyle w:val="HTML"/>
              <w:widowControl w:val="0"/>
              <w:ind w:right="113" w:hanging="2"/>
              <w:rPr>
                <w:rFonts w:ascii="Times New Roman" w:hAnsi="Times New Roman"/>
                <w:sz w:val="24"/>
                <w:szCs w:val="24"/>
                <w:lang w:eastAsia="uk-UA"/>
              </w:rPr>
            </w:pPr>
            <w:r w:rsidRPr="00AC50E6">
              <w:rPr>
                <w:rFonts w:ascii="Times New Roman" w:hAnsi="Times New Roman"/>
                <w:b/>
                <w:sz w:val="24"/>
                <w:szCs w:val="24"/>
                <w:lang w:eastAsia="uk-UA"/>
              </w:rPr>
              <w:t xml:space="preserve">Кількість поставки </w:t>
            </w:r>
            <w:r w:rsidRPr="00AC50E6">
              <w:rPr>
                <w:rFonts w:ascii="Times New Roman" w:eastAsia="SimSun" w:hAnsi="Times New Roman"/>
                <w:b/>
                <w:kern w:val="2"/>
                <w:sz w:val="24"/>
                <w:szCs w:val="24"/>
              </w:rPr>
              <w:t>орієнтовно:</w:t>
            </w:r>
          </w:p>
          <w:p w:rsidR="0019631E" w:rsidRPr="0019631E" w:rsidRDefault="0019631E" w:rsidP="00D05EA8">
            <w:pPr>
              <w:shd w:val="clear" w:color="auto" w:fill="FFFFFF"/>
              <w:spacing w:line="276" w:lineRule="auto"/>
              <w:jc w:val="both"/>
              <w:rPr>
                <w:b/>
              </w:rPr>
            </w:pPr>
            <w:r w:rsidRPr="0019631E">
              <w:rPr>
                <w:b/>
              </w:rPr>
              <w:t>Ветеринарно-санітарний паспорт на тварину – 3 000 штук;</w:t>
            </w:r>
          </w:p>
        </w:tc>
      </w:tr>
      <w:tr w:rsidR="0019631E" w:rsidRPr="00AC50E6" w:rsidTr="00D05EA8">
        <w:tc>
          <w:tcPr>
            <w:tcW w:w="709" w:type="dxa"/>
          </w:tcPr>
          <w:p w:rsidR="0019631E" w:rsidRPr="00AC50E6" w:rsidRDefault="0019631E" w:rsidP="00D05EA8">
            <w:pPr>
              <w:jc w:val="center"/>
            </w:pPr>
            <w:r w:rsidRPr="00AC50E6">
              <w:t>2.10</w:t>
            </w:r>
          </w:p>
        </w:tc>
        <w:tc>
          <w:tcPr>
            <w:tcW w:w="3686" w:type="dxa"/>
          </w:tcPr>
          <w:p w:rsidR="0019631E" w:rsidRPr="00AC50E6" w:rsidRDefault="0019631E" w:rsidP="00D05EA8">
            <w:r w:rsidRPr="00AC50E6">
              <w:t>строк поставки товарів,  виконання робіт, надання послуг</w:t>
            </w:r>
          </w:p>
        </w:tc>
        <w:tc>
          <w:tcPr>
            <w:tcW w:w="5953" w:type="dxa"/>
          </w:tcPr>
          <w:p w:rsidR="0019631E" w:rsidRPr="00AC50E6" w:rsidRDefault="0019631E" w:rsidP="00D05EA8">
            <w:pPr>
              <w:jc w:val="both"/>
            </w:pPr>
            <w:r w:rsidRPr="00AC50E6">
              <w:t xml:space="preserve">до </w:t>
            </w:r>
            <w:r>
              <w:t>20</w:t>
            </w:r>
            <w:r w:rsidRPr="00AC50E6">
              <w:t>.12.2022 року</w:t>
            </w:r>
            <w:r w:rsidRPr="00AC50E6">
              <w:rPr>
                <w:bCs/>
              </w:rPr>
              <w:t xml:space="preserve"> </w:t>
            </w:r>
            <w:r w:rsidRPr="00AC50E6">
              <w:t>або до повного виконання сторонами договірних зобов’язань.</w:t>
            </w:r>
          </w:p>
        </w:tc>
      </w:tr>
      <w:tr w:rsidR="0019631E" w:rsidRPr="00AC50E6" w:rsidTr="00D05EA8">
        <w:tc>
          <w:tcPr>
            <w:tcW w:w="709" w:type="dxa"/>
          </w:tcPr>
          <w:p w:rsidR="0019631E" w:rsidRPr="00AC50E6" w:rsidRDefault="0019631E" w:rsidP="00D05EA8">
            <w:pPr>
              <w:jc w:val="center"/>
            </w:pPr>
            <w:r w:rsidRPr="00AC50E6">
              <w:t>2.11</w:t>
            </w:r>
          </w:p>
        </w:tc>
        <w:tc>
          <w:tcPr>
            <w:tcW w:w="3686" w:type="dxa"/>
          </w:tcPr>
          <w:p w:rsidR="0019631E" w:rsidRPr="00AC50E6" w:rsidRDefault="0019631E" w:rsidP="00D05EA8">
            <w:pPr>
              <w:rPr>
                <w:rFonts w:eastAsia="Calibri"/>
                <w:lang w:eastAsia="ru-RU"/>
              </w:rPr>
            </w:pPr>
            <w:r w:rsidRPr="00AC50E6">
              <w:rPr>
                <w:rFonts w:eastAsia="Calibri"/>
                <w:lang w:eastAsia="ru-RU"/>
              </w:rPr>
              <w:t xml:space="preserve">умови оплати </w:t>
            </w:r>
          </w:p>
        </w:tc>
        <w:tc>
          <w:tcPr>
            <w:tcW w:w="5953" w:type="dxa"/>
          </w:tcPr>
          <w:p w:rsidR="0019631E" w:rsidRPr="00AC50E6" w:rsidRDefault="0019631E" w:rsidP="00D05EA8">
            <w:pPr>
              <w:autoSpaceDN w:val="0"/>
              <w:adjustRightInd w:val="0"/>
              <w:rPr>
                <w:rFonts w:eastAsia="Calibri"/>
                <w:lang w:eastAsia="ru-RU"/>
              </w:rPr>
            </w:pPr>
            <w:r w:rsidRPr="00AC50E6">
              <w:t>детально визначені в проекті договору про закупівлю</w:t>
            </w:r>
          </w:p>
        </w:tc>
      </w:tr>
      <w:tr w:rsidR="0019631E" w:rsidRPr="00586BF7" w:rsidTr="00D05EA8">
        <w:tc>
          <w:tcPr>
            <w:tcW w:w="709" w:type="dxa"/>
          </w:tcPr>
          <w:p w:rsidR="0019631E" w:rsidRPr="00AC50E6" w:rsidRDefault="0019631E" w:rsidP="00D05EA8">
            <w:pPr>
              <w:jc w:val="center"/>
            </w:pPr>
            <w:r w:rsidRPr="00AC50E6">
              <w:t>2.12</w:t>
            </w:r>
          </w:p>
        </w:tc>
        <w:tc>
          <w:tcPr>
            <w:tcW w:w="3686" w:type="dxa"/>
          </w:tcPr>
          <w:p w:rsidR="0019631E" w:rsidRPr="00AC50E6" w:rsidRDefault="0019631E" w:rsidP="00D05EA8">
            <w:pPr>
              <w:rPr>
                <w:rFonts w:eastAsia="Calibri"/>
                <w:lang w:eastAsia="ru-RU"/>
              </w:rPr>
            </w:pPr>
            <w:r w:rsidRPr="00AC50E6">
              <w:rPr>
                <w:rFonts w:eastAsia="Calibri"/>
                <w:lang w:eastAsia="ru-RU"/>
              </w:rPr>
              <w:t>очікувана вартість предмета закупівлі</w:t>
            </w:r>
          </w:p>
        </w:tc>
        <w:tc>
          <w:tcPr>
            <w:tcW w:w="5953" w:type="dxa"/>
          </w:tcPr>
          <w:p w:rsidR="0019631E" w:rsidRPr="00AC50E6" w:rsidRDefault="0019631E" w:rsidP="00D05EA8">
            <w:pPr>
              <w:autoSpaceDN w:val="0"/>
              <w:adjustRightInd w:val="0"/>
            </w:pPr>
            <w:r w:rsidRPr="00AC50E6">
              <w:t>визначена в річному плані проведення спрощеної закупівлі та в оголошенні, що оприлюднене в електронній системі закупівель та становить:</w:t>
            </w:r>
          </w:p>
          <w:p w:rsidR="0019631E" w:rsidRPr="00AC50E6" w:rsidRDefault="0019631E" w:rsidP="00D05EA8">
            <w:pPr>
              <w:spacing w:before="150" w:after="300"/>
            </w:pPr>
            <w:r>
              <w:rPr>
                <w:rStyle w:val="a5"/>
                <w:b/>
              </w:rPr>
              <w:t xml:space="preserve">97200 </w:t>
            </w:r>
            <w:r w:rsidRPr="00AC50E6">
              <w:rPr>
                <w:rStyle w:val="a5"/>
                <w:b/>
              </w:rPr>
              <w:t>(</w:t>
            </w:r>
            <w:r>
              <w:rPr>
                <w:rStyle w:val="a5"/>
                <w:b/>
              </w:rPr>
              <w:t>Дев»яносто сім тисяч двісті</w:t>
            </w:r>
            <w:r w:rsidRPr="00AC50E6">
              <w:rPr>
                <w:rStyle w:val="a5"/>
                <w:b/>
              </w:rPr>
              <w:t xml:space="preserve">) </w:t>
            </w:r>
            <w:r w:rsidRPr="00AC50E6">
              <w:rPr>
                <w:b/>
                <w:bCs/>
              </w:rPr>
              <w:t>грн. 00 коп. з ПДВ</w:t>
            </w:r>
          </w:p>
        </w:tc>
      </w:tr>
      <w:tr w:rsidR="0019631E" w:rsidRPr="00AC50E6" w:rsidTr="00D05EA8">
        <w:tc>
          <w:tcPr>
            <w:tcW w:w="709" w:type="dxa"/>
          </w:tcPr>
          <w:p w:rsidR="0019631E" w:rsidRPr="00AC50E6" w:rsidRDefault="0019631E" w:rsidP="00D05EA8">
            <w:pPr>
              <w:jc w:val="center"/>
            </w:pPr>
            <w:r w:rsidRPr="00AC50E6">
              <w:t>2.13</w:t>
            </w:r>
          </w:p>
        </w:tc>
        <w:tc>
          <w:tcPr>
            <w:tcW w:w="3686" w:type="dxa"/>
          </w:tcPr>
          <w:p w:rsidR="0019631E" w:rsidRPr="00AC50E6" w:rsidRDefault="0019631E" w:rsidP="00D05EA8">
            <w:pPr>
              <w:rPr>
                <w:rFonts w:eastAsia="Calibri"/>
                <w:lang w:eastAsia="ru-RU"/>
              </w:rPr>
            </w:pPr>
            <w:r w:rsidRPr="00AC50E6">
              <w:rPr>
                <w:rFonts w:eastAsia="Calibri"/>
                <w:lang w:eastAsia="ru-RU"/>
              </w:rPr>
              <w:t xml:space="preserve">період уточнення інформації про закупівлю </w:t>
            </w:r>
          </w:p>
        </w:tc>
        <w:tc>
          <w:tcPr>
            <w:tcW w:w="5953" w:type="dxa"/>
          </w:tcPr>
          <w:p w:rsidR="0019631E" w:rsidRPr="00AC50E6" w:rsidRDefault="0019631E" w:rsidP="00D05EA8">
            <w:pPr>
              <w:autoSpaceDN w:val="0"/>
              <w:adjustRightInd w:val="0"/>
              <w:jc w:val="both"/>
            </w:pPr>
            <w:r w:rsidRPr="00AC50E6">
              <w:t>становить не менше трьох днів та визначений в оголошенні, що оприлюднене в електронній системі закупівель</w:t>
            </w:r>
          </w:p>
        </w:tc>
      </w:tr>
      <w:tr w:rsidR="0019631E" w:rsidRPr="00AC50E6" w:rsidTr="00D05EA8">
        <w:tc>
          <w:tcPr>
            <w:tcW w:w="709" w:type="dxa"/>
          </w:tcPr>
          <w:p w:rsidR="0019631E" w:rsidRPr="00AC50E6" w:rsidRDefault="0019631E" w:rsidP="00D05EA8">
            <w:pPr>
              <w:jc w:val="center"/>
            </w:pPr>
            <w:r w:rsidRPr="00AC50E6">
              <w:t>2.14</w:t>
            </w:r>
          </w:p>
        </w:tc>
        <w:tc>
          <w:tcPr>
            <w:tcW w:w="3686" w:type="dxa"/>
          </w:tcPr>
          <w:p w:rsidR="0019631E" w:rsidRPr="00AC50E6" w:rsidRDefault="0019631E" w:rsidP="00D05EA8">
            <w:pPr>
              <w:rPr>
                <w:rFonts w:eastAsia="Calibri"/>
                <w:lang w:eastAsia="ru-RU"/>
              </w:rPr>
            </w:pPr>
            <w:r w:rsidRPr="00AC50E6">
              <w:rPr>
                <w:rFonts w:eastAsia="Calibri"/>
                <w:lang w:eastAsia="ru-RU"/>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5953" w:type="dxa"/>
          </w:tcPr>
          <w:p w:rsidR="0019631E" w:rsidRPr="00AC50E6" w:rsidRDefault="0019631E" w:rsidP="00D05EA8">
            <w:pPr>
              <w:autoSpaceDN w:val="0"/>
              <w:adjustRightInd w:val="0"/>
              <w:jc w:val="both"/>
              <w:rPr>
                <w:shd w:val="clear" w:color="auto" w:fill="FFFFFF"/>
              </w:rPr>
            </w:pPr>
            <w:r w:rsidRPr="00AC50E6">
              <w:rPr>
                <w:shd w:val="clear" w:color="auto" w:fill="FFFFFF"/>
              </w:rPr>
              <w:t>строк для надання пропозицій не може бути менше ніж два робочі дні з дня закінчення періоду уточнення інформації про закупівлю</w:t>
            </w:r>
          </w:p>
          <w:p w:rsidR="0019631E" w:rsidRPr="00AC50E6" w:rsidRDefault="0019631E" w:rsidP="00D05EA8">
            <w:pPr>
              <w:autoSpaceDN w:val="0"/>
              <w:adjustRightInd w:val="0"/>
              <w:jc w:val="both"/>
              <w:rPr>
                <w:b/>
                <w:bCs/>
              </w:rPr>
            </w:pPr>
          </w:p>
        </w:tc>
      </w:tr>
      <w:tr w:rsidR="0019631E" w:rsidRPr="00AC50E6" w:rsidTr="00D05EA8">
        <w:tc>
          <w:tcPr>
            <w:tcW w:w="709" w:type="dxa"/>
          </w:tcPr>
          <w:p w:rsidR="0019631E" w:rsidRPr="00AC50E6" w:rsidRDefault="0019631E" w:rsidP="00D05EA8">
            <w:pPr>
              <w:jc w:val="center"/>
            </w:pPr>
            <w:r w:rsidRPr="00AC50E6">
              <w:t>2.15</w:t>
            </w:r>
          </w:p>
        </w:tc>
        <w:tc>
          <w:tcPr>
            <w:tcW w:w="3686" w:type="dxa"/>
          </w:tcPr>
          <w:p w:rsidR="0019631E" w:rsidRPr="00AC50E6" w:rsidRDefault="0019631E" w:rsidP="00D05EA8">
            <w:pPr>
              <w:rPr>
                <w:rFonts w:eastAsia="Calibri"/>
                <w:lang w:eastAsia="ru-RU"/>
              </w:rPr>
            </w:pPr>
            <w:r w:rsidRPr="00AC50E6">
              <w:rPr>
                <w:rFonts w:eastAsia="Calibri"/>
                <w:lang w:eastAsia="ru-RU"/>
              </w:rPr>
              <w:t xml:space="preserve">перелік критеріїв та методика оцінки пропозицій із зазначенням питомої ваги </w:t>
            </w:r>
            <w:r w:rsidRPr="00AC50E6">
              <w:rPr>
                <w:rFonts w:eastAsia="Calibri"/>
                <w:lang w:eastAsia="ru-RU"/>
              </w:rPr>
              <w:lastRenderedPageBreak/>
              <w:t>критеріїв</w:t>
            </w:r>
          </w:p>
        </w:tc>
        <w:tc>
          <w:tcPr>
            <w:tcW w:w="5953" w:type="dxa"/>
          </w:tcPr>
          <w:p w:rsidR="0019631E" w:rsidRPr="00AC50E6" w:rsidRDefault="0019631E" w:rsidP="00D05EA8">
            <w:pPr>
              <w:autoSpaceDN w:val="0"/>
              <w:adjustRightInd w:val="0"/>
              <w:rPr>
                <w:shd w:val="clear" w:color="auto" w:fill="FFFFFF"/>
              </w:rPr>
            </w:pPr>
            <w:r w:rsidRPr="00AC50E6">
              <w:rPr>
                <w:shd w:val="clear" w:color="auto" w:fill="FFFFFF"/>
              </w:rPr>
              <w:lastRenderedPageBreak/>
              <w:t>визначено в Розділі 5 цього оголошення</w:t>
            </w:r>
          </w:p>
        </w:tc>
      </w:tr>
      <w:tr w:rsidR="0019631E" w:rsidRPr="00AC50E6" w:rsidTr="00D05EA8">
        <w:tc>
          <w:tcPr>
            <w:tcW w:w="709" w:type="dxa"/>
          </w:tcPr>
          <w:p w:rsidR="0019631E" w:rsidRPr="00AC50E6" w:rsidRDefault="0019631E" w:rsidP="00D05EA8">
            <w:pPr>
              <w:jc w:val="center"/>
            </w:pPr>
            <w:r w:rsidRPr="00AC50E6">
              <w:lastRenderedPageBreak/>
              <w:t>2.16</w:t>
            </w:r>
          </w:p>
        </w:tc>
        <w:tc>
          <w:tcPr>
            <w:tcW w:w="3686" w:type="dxa"/>
          </w:tcPr>
          <w:p w:rsidR="0019631E" w:rsidRPr="00AC50E6" w:rsidRDefault="0019631E" w:rsidP="00D05EA8">
            <w:pPr>
              <w:rPr>
                <w:rFonts w:eastAsia="Calibri"/>
                <w:lang w:eastAsia="ru-RU"/>
              </w:rPr>
            </w:pPr>
            <w:r w:rsidRPr="00AC50E6">
              <w:rPr>
                <w:rFonts w:eastAsia="Calibri"/>
                <w:lang w:eastAsia="ru-RU"/>
              </w:rPr>
              <w:t>розмір та умови надання забезпечення пропозицій учасників (якщо замовник вимагає його надати)</w:t>
            </w:r>
          </w:p>
        </w:tc>
        <w:tc>
          <w:tcPr>
            <w:tcW w:w="5953" w:type="dxa"/>
          </w:tcPr>
          <w:p w:rsidR="0019631E" w:rsidRPr="00AC50E6" w:rsidRDefault="0019631E" w:rsidP="00D05EA8">
            <w:pPr>
              <w:jc w:val="both"/>
              <w:rPr>
                <w:shd w:val="clear" w:color="auto" w:fill="FFFFFF"/>
              </w:rPr>
            </w:pPr>
            <w:r w:rsidRPr="00AC50E6">
              <w:t>забезпечення пропозиції Учасників не вимагається</w:t>
            </w:r>
          </w:p>
        </w:tc>
      </w:tr>
      <w:tr w:rsidR="0019631E" w:rsidRPr="00AC50E6" w:rsidTr="00D05EA8">
        <w:tc>
          <w:tcPr>
            <w:tcW w:w="709" w:type="dxa"/>
          </w:tcPr>
          <w:p w:rsidR="0019631E" w:rsidRPr="00AC50E6" w:rsidRDefault="0019631E" w:rsidP="00D05EA8">
            <w:pPr>
              <w:jc w:val="center"/>
            </w:pPr>
            <w:r w:rsidRPr="00AC50E6">
              <w:t>2.17</w:t>
            </w:r>
          </w:p>
        </w:tc>
        <w:tc>
          <w:tcPr>
            <w:tcW w:w="3686" w:type="dxa"/>
          </w:tcPr>
          <w:p w:rsidR="0019631E" w:rsidRPr="00AC50E6" w:rsidRDefault="0019631E" w:rsidP="00D05EA8">
            <w:pPr>
              <w:rPr>
                <w:rFonts w:eastAsia="Calibri"/>
                <w:lang w:eastAsia="ru-RU"/>
              </w:rPr>
            </w:pPr>
            <w:r w:rsidRPr="00AC50E6">
              <w:rPr>
                <w:rFonts w:eastAsia="Calibri"/>
                <w:lang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tcPr>
          <w:p w:rsidR="0019631E" w:rsidRPr="00AC50E6" w:rsidRDefault="0019631E" w:rsidP="00D05EA8">
            <w:pPr>
              <w:autoSpaceDN w:val="0"/>
              <w:adjustRightInd w:val="0"/>
              <w:jc w:val="both"/>
              <w:rPr>
                <w:shd w:val="clear" w:color="auto" w:fill="FFFFFF"/>
              </w:rPr>
            </w:pPr>
            <w:r w:rsidRPr="00AC50E6">
              <w:t>додатково визначений в оголошенні, що оприлюднене в електронній системі закупівель та становить 0,5% від</w:t>
            </w:r>
            <w:r w:rsidRPr="00AC50E6">
              <w:rPr>
                <w:rFonts w:eastAsia="Calibri"/>
                <w:lang w:eastAsia="ru-RU"/>
              </w:rPr>
              <w:t xml:space="preserve"> очікуваної вартості закупівлі</w:t>
            </w:r>
          </w:p>
        </w:tc>
      </w:tr>
      <w:tr w:rsidR="0019631E" w:rsidRPr="00AC50E6" w:rsidTr="00D05EA8">
        <w:tc>
          <w:tcPr>
            <w:tcW w:w="709" w:type="dxa"/>
          </w:tcPr>
          <w:p w:rsidR="0019631E" w:rsidRPr="00AC50E6" w:rsidRDefault="0019631E" w:rsidP="00D05EA8">
            <w:pPr>
              <w:jc w:val="center"/>
            </w:pPr>
            <w:r w:rsidRPr="00AC50E6">
              <w:t>2.18</w:t>
            </w:r>
          </w:p>
        </w:tc>
        <w:tc>
          <w:tcPr>
            <w:tcW w:w="3686" w:type="dxa"/>
          </w:tcPr>
          <w:p w:rsidR="0019631E" w:rsidRPr="00AC50E6" w:rsidRDefault="0019631E" w:rsidP="00D05EA8">
            <w:r w:rsidRPr="00AC50E6">
              <w:t xml:space="preserve">Інформація про валюту </w:t>
            </w:r>
            <w:r w:rsidRPr="00AC50E6">
              <w:rPr>
                <w:rFonts w:eastAsia="Calibri"/>
                <w:lang w:eastAsia="ru-RU"/>
              </w:rPr>
              <w:t>(валюти), у якій (яких) повинна бути розрахована і зазначена ціна пропозиції</w:t>
            </w:r>
          </w:p>
        </w:tc>
        <w:tc>
          <w:tcPr>
            <w:tcW w:w="5953" w:type="dxa"/>
          </w:tcPr>
          <w:p w:rsidR="0019631E" w:rsidRPr="00AC50E6" w:rsidRDefault="0019631E" w:rsidP="00D05EA8">
            <w:pPr>
              <w:jc w:val="both"/>
            </w:pPr>
            <w:r w:rsidRPr="00AC50E6">
              <w:t>валютою пропозиції спрощеної закупівлі є гривня</w:t>
            </w:r>
          </w:p>
          <w:p w:rsidR="0019631E" w:rsidRPr="00AC50E6" w:rsidRDefault="0019631E" w:rsidP="00D05EA8">
            <w:pPr>
              <w:contextualSpacing/>
              <w:jc w:val="both"/>
            </w:pPr>
          </w:p>
        </w:tc>
      </w:tr>
      <w:tr w:rsidR="0019631E" w:rsidRPr="00AC50E6" w:rsidTr="00D05EA8">
        <w:tc>
          <w:tcPr>
            <w:tcW w:w="709" w:type="dxa"/>
          </w:tcPr>
          <w:p w:rsidR="0019631E" w:rsidRPr="00AC50E6" w:rsidRDefault="0019631E" w:rsidP="00D05EA8">
            <w:pPr>
              <w:jc w:val="center"/>
            </w:pPr>
            <w:r w:rsidRPr="00AC50E6">
              <w:t>2.19</w:t>
            </w:r>
          </w:p>
        </w:tc>
        <w:tc>
          <w:tcPr>
            <w:tcW w:w="3686" w:type="dxa"/>
          </w:tcPr>
          <w:p w:rsidR="0019631E" w:rsidRPr="00AC50E6" w:rsidRDefault="0019631E" w:rsidP="00D05EA8">
            <w:r w:rsidRPr="00AC50E6">
              <w:t>Інформація  про  мову (мови),  якою  (якими) повинні  бути  складені пропозиції</w:t>
            </w:r>
          </w:p>
        </w:tc>
        <w:tc>
          <w:tcPr>
            <w:tcW w:w="5953" w:type="dxa"/>
          </w:tcPr>
          <w:p w:rsidR="0019631E" w:rsidRPr="00AC50E6" w:rsidRDefault="0019631E" w:rsidP="00D05EA8">
            <w:pPr>
              <w:jc w:val="both"/>
              <w:rPr>
                <w:lang w:eastAsia="ru-RU"/>
              </w:rPr>
            </w:pPr>
            <w:r>
              <w:rPr>
                <w:lang w:eastAsia="ru-RU"/>
              </w:rPr>
              <w:t>П</w:t>
            </w:r>
            <w:r w:rsidRPr="00AC50E6">
              <w:rPr>
                <w:lang w:eastAsia="ru-RU"/>
              </w:rPr>
              <w:t>ід час проведення закупівлі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19631E" w:rsidRPr="00AC50E6" w:rsidRDefault="0019631E" w:rsidP="00D05EA8">
            <w:pPr>
              <w:jc w:val="both"/>
            </w:pPr>
            <w:r w:rsidRPr="00AC50E6">
              <w:rPr>
                <w:lang w:eastAsia="ru-RU"/>
              </w:rPr>
              <w:t>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торгів, або посвідчений нотаріально (на розсуд учасника).</w:t>
            </w:r>
          </w:p>
        </w:tc>
      </w:tr>
      <w:tr w:rsidR="0019631E" w:rsidRPr="00AC50E6" w:rsidTr="00D05EA8">
        <w:tc>
          <w:tcPr>
            <w:tcW w:w="709" w:type="dxa"/>
          </w:tcPr>
          <w:p w:rsidR="0019631E" w:rsidRPr="00AC50E6" w:rsidRDefault="0019631E" w:rsidP="00D05EA8">
            <w:pPr>
              <w:jc w:val="center"/>
            </w:pPr>
          </w:p>
        </w:tc>
        <w:tc>
          <w:tcPr>
            <w:tcW w:w="9639" w:type="dxa"/>
            <w:gridSpan w:val="2"/>
          </w:tcPr>
          <w:p w:rsidR="0019631E" w:rsidRPr="00AC50E6" w:rsidRDefault="0019631E" w:rsidP="00D05EA8">
            <w:pPr>
              <w:jc w:val="center"/>
              <w:rPr>
                <w:lang w:eastAsia="ru-RU"/>
              </w:rPr>
            </w:pPr>
            <w:r w:rsidRPr="00AC50E6">
              <w:rPr>
                <w:rFonts w:eastAsia="Calibri"/>
                <w:lang w:eastAsia="ru-RU"/>
              </w:rPr>
              <w:t>Розділ 2. Порядок внесення змін та надання роз’яснень до оголошення про проведення спрощеної закупівлі</w:t>
            </w:r>
          </w:p>
        </w:tc>
      </w:tr>
      <w:tr w:rsidR="0019631E" w:rsidRPr="00AC50E6" w:rsidTr="00D05EA8">
        <w:tc>
          <w:tcPr>
            <w:tcW w:w="709" w:type="dxa"/>
          </w:tcPr>
          <w:p w:rsidR="0019631E" w:rsidRPr="00AC50E6" w:rsidRDefault="0019631E" w:rsidP="00D05EA8">
            <w:pPr>
              <w:jc w:val="center"/>
            </w:pPr>
            <w:r w:rsidRPr="00AC50E6">
              <w:t>2.1</w:t>
            </w:r>
          </w:p>
        </w:tc>
        <w:tc>
          <w:tcPr>
            <w:tcW w:w="3686" w:type="dxa"/>
          </w:tcPr>
          <w:p w:rsidR="0019631E" w:rsidRPr="00AC50E6" w:rsidRDefault="0019631E" w:rsidP="00D05EA8">
            <w:pPr>
              <w:rPr>
                <w:rFonts w:eastAsia="Calibri"/>
                <w:lang w:eastAsia="ru-RU"/>
              </w:rPr>
            </w:pPr>
            <w:r w:rsidRPr="00AC50E6">
              <w:rPr>
                <w:rFonts w:eastAsia="Calibri"/>
                <w:lang w:eastAsia="ru-RU"/>
              </w:rPr>
              <w:t>Процедура надання роз’яснень та внесення змін до оголошення про проведення спрощеної закупівлі, та/або вимог до предмета закупівлі.</w:t>
            </w: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p w:rsidR="0019631E" w:rsidRPr="00AC50E6" w:rsidRDefault="0019631E" w:rsidP="00D05EA8">
            <w:pPr>
              <w:rPr>
                <w:rFonts w:eastAsia="Calibri"/>
                <w:lang w:eastAsia="ru-RU"/>
              </w:rPr>
            </w:pPr>
          </w:p>
        </w:tc>
        <w:tc>
          <w:tcPr>
            <w:tcW w:w="5953" w:type="dxa"/>
          </w:tcPr>
          <w:p w:rsidR="0019631E" w:rsidRPr="00AC50E6" w:rsidRDefault="0019631E" w:rsidP="00D05EA8">
            <w:pPr>
              <w:jc w:val="both"/>
              <w:rPr>
                <w:lang w:eastAsia="ru-RU"/>
              </w:rPr>
            </w:pPr>
            <w:r w:rsidRPr="00AC50E6">
              <w:rPr>
                <w:lang w:eastAsia="ru-RU"/>
              </w:rPr>
              <w:t>2.1.1. 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rsidR="0019631E" w:rsidRPr="00AC50E6" w:rsidRDefault="0019631E" w:rsidP="00D05EA8">
            <w:pPr>
              <w:jc w:val="both"/>
              <w:rPr>
                <w:lang w:eastAsia="ru-RU"/>
              </w:rPr>
            </w:pPr>
            <w:r w:rsidRPr="00AC50E6">
              <w:rPr>
                <w:lang w:eastAsia="ru-RU"/>
              </w:rPr>
              <w:t>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w:t>
            </w:r>
          </w:p>
          <w:p w:rsidR="0019631E" w:rsidRPr="00AC50E6" w:rsidRDefault="0019631E" w:rsidP="00D05EA8">
            <w:pPr>
              <w:jc w:val="both"/>
              <w:rPr>
                <w:lang w:eastAsia="ru-RU"/>
              </w:rPr>
            </w:pPr>
            <w:r w:rsidRPr="00AC50E6">
              <w:rPr>
                <w:lang w:eastAsia="ru-RU"/>
              </w:rPr>
              <w:t>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внести зміни до оголошення про проведення спрощеної закупівлі, та/або вимог до предмета закупівлі.</w:t>
            </w:r>
          </w:p>
          <w:p w:rsidR="0019631E" w:rsidRPr="00AC50E6" w:rsidRDefault="0019631E" w:rsidP="00D05EA8">
            <w:pPr>
              <w:jc w:val="both"/>
              <w:rPr>
                <w:lang w:eastAsia="ru-RU"/>
              </w:rPr>
            </w:pPr>
            <w:r w:rsidRPr="00AC50E6">
              <w:rPr>
                <w:lang w:eastAsia="ru-RU"/>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rsidR="0019631E" w:rsidRPr="00AC50E6" w:rsidRDefault="0019631E" w:rsidP="00D05EA8">
            <w:pPr>
              <w:jc w:val="both"/>
              <w:rPr>
                <w:lang w:eastAsia="ru-RU"/>
              </w:rPr>
            </w:pPr>
            <w:r w:rsidRPr="00AC50E6">
              <w:rPr>
                <w:lang w:eastAsia="ru-RU"/>
              </w:rPr>
              <w:t>2.1.2.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19631E" w:rsidRPr="00AC50E6" w:rsidTr="00D05EA8">
        <w:tc>
          <w:tcPr>
            <w:tcW w:w="709" w:type="dxa"/>
          </w:tcPr>
          <w:p w:rsidR="0019631E" w:rsidRPr="00AC50E6" w:rsidRDefault="0019631E" w:rsidP="00D05EA8">
            <w:pPr>
              <w:jc w:val="center"/>
            </w:pPr>
          </w:p>
        </w:tc>
        <w:tc>
          <w:tcPr>
            <w:tcW w:w="9639" w:type="dxa"/>
            <w:gridSpan w:val="2"/>
          </w:tcPr>
          <w:p w:rsidR="0019631E" w:rsidRPr="00AC50E6" w:rsidRDefault="0019631E" w:rsidP="00D05EA8">
            <w:pPr>
              <w:jc w:val="center"/>
              <w:rPr>
                <w:lang w:eastAsia="ru-RU"/>
              </w:rPr>
            </w:pPr>
            <w:bookmarkStart w:id="1" w:name="_Toc367893128"/>
            <w:r w:rsidRPr="00AC50E6">
              <w:rPr>
                <w:rFonts w:eastAsia="Calibri"/>
                <w:lang w:eastAsia="ru-RU"/>
              </w:rPr>
              <w:t>Розділ 3. Інструкція з підготовки пропозицій</w:t>
            </w:r>
            <w:bookmarkEnd w:id="1"/>
          </w:p>
        </w:tc>
      </w:tr>
      <w:tr w:rsidR="0019631E" w:rsidRPr="00AC50E6" w:rsidTr="00D05EA8">
        <w:trPr>
          <w:trHeight w:val="60"/>
        </w:trPr>
        <w:tc>
          <w:tcPr>
            <w:tcW w:w="709" w:type="dxa"/>
          </w:tcPr>
          <w:p w:rsidR="0019631E" w:rsidRPr="00AC50E6" w:rsidRDefault="0019631E" w:rsidP="00D05EA8">
            <w:pPr>
              <w:jc w:val="center"/>
            </w:pPr>
            <w:r w:rsidRPr="00AC50E6">
              <w:t>3.1</w:t>
            </w:r>
          </w:p>
        </w:tc>
        <w:tc>
          <w:tcPr>
            <w:tcW w:w="3686" w:type="dxa"/>
          </w:tcPr>
          <w:p w:rsidR="0019631E" w:rsidRPr="00AC50E6" w:rsidRDefault="0019631E" w:rsidP="00D05EA8">
            <w:r w:rsidRPr="00AC50E6">
              <w:t>Зміст і порядок подання пропозицій</w:t>
            </w:r>
          </w:p>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 w:rsidR="0019631E" w:rsidRPr="00AC50E6" w:rsidRDefault="0019631E" w:rsidP="00D05EA8">
            <w:pPr>
              <w:jc w:val="right"/>
              <w:rPr>
                <w:rFonts w:eastAsia="Calibri"/>
              </w:rPr>
            </w:pPr>
          </w:p>
        </w:tc>
        <w:tc>
          <w:tcPr>
            <w:tcW w:w="5953" w:type="dxa"/>
          </w:tcPr>
          <w:p w:rsidR="0019631E" w:rsidRPr="00AC50E6" w:rsidRDefault="0019631E" w:rsidP="00D05EA8">
            <w:pPr>
              <w:jc w:val="both"/>
              <w:rPr>
                <w:lang w:eastAsia="ru-RU"/>
              </w:rPr>
            </w:pPr>
            <w:r w:rsidRPr="00AC50E6">
              <w:rPr>
                <w:lang w:eastAsia="ru-RU"/>
              </w:rPr>
              <w:lastRenderedPageBreak/>
              <w:t>3.1.1.Пропозиції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а саме:</w:t>
            </w:r>
          </w:p>
          <w:p w:rsidR="0019631E" w:rsidRPr="00AC50E6" w:rsidRDefault="0019631E" w:rsidP="00D05EA8">
            <w:pPr>
              <w:jc w:val="both"/>
              <w:rPr>
                <w:lang w:eastAsia="ru-RU"/>
              </w:rPr>
            </w:pPr>
            <w:r w:rsidRPr="00AC50E6">
              <w:rPr>
                <w:lang w:eastAsia="ru-RU"/>
              </w:rPr>
              <w:t xml:space="preserve">- заповненою формою «Цінова пропозиція» згідно з  Додатком № 1 до цього оголошення (ціна пропозиції не може перевищувати очікувану вартість предмета закупівлі, зазначену в оголошенні </w:t>
            </w:r>
            <w:r w:rsidRPr="00AC50E6">
              <w:rPr>
                <w:lang w:eastAsia="ru-RU"/>
              </w:rPr>
              <w:lastRenderedPageBreak/>
              <w:t>про проведення спрощеної закупівлі.</w:t>
            </w:r>
            <w:r w:rsidRPr="00AC50E6">
              <w:t xml:space="preserve"> </w:t>
            </w:r>
            <w:r w:rsidRPr="00AC50E6">
              <w:rPr>
                <w:lang w:eastAsia="ru-RU"/>
              </w:rPr>
              <w:t xml:space="preserve">Загальна ціна пропозиції – означає суму, за яку учасник передбачає надати послуги в обсязі, визначеному замовником. </w:t>
            </w:r>
          </w:p>
          <w:p w:rsidR="0019631E" w:rsidRPr="00AC50E6" w:rsidRDefault="0019631E" w:rsidP="00D05EA8">
            <w:pPr>
              <w:jc w:val="both"/>
              <w:rPr>
                <w:lang w:eastAsia="ru-RU"/>
              </w:rPr>
            </w:pPr>
            <w:r w:rsidRPr="00AC50E6">
              <w:rPr>
                <w:lang w:eastAsia="ru-RU"/>
              </w:rPr>
              <w:t>- інформацією та документами, що підтверджують  відповідність учасника кваліфікаційним критеріям (якщо така інформація/документи вимагається Замовником) (згідно з Додатком № 4);</w:t>
            </w:r>
          </w:p>
          <w:p w:rsidR="0019631E" w:rsidRPr="00AC50E6" w:rsidRDefault="0019631E" w:rsidP="00D05EA8">
            <w:pPr>
              <w:jc w:val="both"/>
              <w:rPr>
                <w:lang w:eastAsia="ru-RU"/>
              </w:rPr>
            </w:pPr>
            <w:r w:rsidRPr="00AC50E6">
              <w:rPr>
                <w:lang w:eastAsia="ru-RU"/>
              </w:rPr>
              <w:t xml:space="preserve">- інформацією про відповідність пропозиції учасника необхідним технічним, якісним та кількісним характеристикам предмета закупівлі (згідно з Додатком № 3); </w:t>
            </w:r>
          </w:p>
          <w:p w:rsidR="0019631E" w:rsidRPr="00AC50E6" w:rsidRDefault="0019631E" w:rsidP="00D05EA8">
            <w:pPr>
              <w:jc w:val="both"/>
              <w:rPr>
                <w:lang w:eastAsia="ru-RU"/>
              </w:rPr>
            </w:pPr>
            <w:r w:rsidRPr="00AC50E6">
              <w:rPr>
                <w:lang w:eastAsia="ru-RU"/>
              </w:rPr>
              <w:t>- документами, що підтверджують повноваження посадової особи або представника учасника спрощеної закупівлі щодо підпису документів пропозиції та документами, що підтверджують правомочність особи/осіб на укладення договору (згідно з Додатком № 4);</w:t>
            </w:r>
          </w:p>
          <w:p w:rsidR="0019631E" w:rsidRPr="00AC50E6" w:rsidRDefault="0019631E" w:rsidP="00D05EA8">
            <w:pPr>
              <w:jc w:val="both"/>
              <w:rPr>
                <w:lang w:eastAsia="ru-RU"/>
              </w:rPr>
            </w:pPr>
            <w:r w:rsidRPr="00AC50E6">
              <w:rPr>
                <w:lang w:eastAsia="ru-RU"/>
              </w:rPr>
              <w:t>- документом, що підтверджує надання учасником забезпечення пропозиції (якщо таке забезпечення передбачено оголошенням про проведення спрощеної закупівлі);</w:t>
            </w:r>
          </w:p>
          <w:p w:rsidR="0019631E" w:rsidRPr="00AC50E6" w:rsidRDefault="0019631E" w:rsidP="00D05EA8">
            <w:pPr>
              <w:jc w:val="both"/>
              <w:rPr>
                <w:lang w:eastAsia="ru-RU"/>
              </w:rPr>
            </w:pPr>
            <w:r w:rsidRPr="00AC50E6">
              <w:rPr>
                <w:lang w:eastAsia="ru-RU"/>
              </w:rPr>
              <w:t>- іншою  інформацією  та  документами  відповідно  до вимог оголошення.</w:t>
            </w:r>
          </w:p>
          <w:p w:rsidR="0019631E" w:rsidRPr="00AC50E6" w:rsidRDefault="0019631E" w:rsidP="00D05EA8">
            <w:pPr>
              <w:jc w:val="both"/>
              <w:rPr>
                <w:lang w:eastAsia="ru-RU"/>
              </w:rPr>
            </w:pPr>
            <w:r w:rsidRPr="00AC50E6">
              <w:rPr>
                <w:lang w:eastAsia="ru-RU"/>
              </w:rPr>
              <w:t>3.1.2.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9631E" w:rsidRPr="00AC50E6" w:rsidRDefault="0019631E" w:rsidP="00D05EA8">
            <w:pPr>
              <w:jc w:val="both"/>
              <w:rPr>
                <w:lang w:eastAsia="ru-RU"/>
              </w:rPr>
            </w:pPr>
            <w:r w:rsidRPr="00AC50E6">
              <w:rPr>
                <w:lang w:eastAsia="ru-RU"/>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19631E" w:rsidRPr="00AC50E6" w:rsidRDefault="0019631E" w:rsidP="00D05EA8">
            <w:pPr>
              <w:jc w:val="both"/>
              <w:rPr>
                <w:lang w:eastAsia="ru-RU"/>
              </w:rPr>
            </w:pPr>
            <w:r w:rsidRPr="00AC50E6">
              <w:rPr>
                <w:lang w:eastAsia="ru-RU"/>
              </w:rPr>
              <w:t>Пропозиції учасників, подані після закінчення строку їх подання, електронною системою закупівель не приймаються.</w:t>
            </w:r>
          </w:p>
          <w:p w:rsidR="0019631E" w:rsidRPr="00AC50E6" w:rsidRDefault="0019631E" w:rsidP="00D05EA8">
            <w:pPr>
              <w:jc w:val="both"/>
              <w:rPr>
                <w:lang w:eastAsia="ru-RU"/>
              </w:rPr>
            </w:pPr>
            <w:r w:rsidRPr="00AC50E6">
              <w:rPr>
                <w:lang w:eastAsia="ru-RU"/>
              </w:rPr>
              <w:t>У разі якщо пропозиція подається об’єднанням учасників, до неї обов’язково включається документ про створення такого об’єднання.</w:t>
            </w:r>
          </w:p>
          <w:p w:rsidR="0019631E" w:rsidRPr="00AC50E6" w:rsidRDefault="0019631E" w:rsidP="00D05EA8">
            <w:pPr>
              <w:jc w:val="both"/>
              <w:rPr>
                <w:lang w:eastAsia="ru-RU"/>
              </w:rPr>
            </w:pPr>
            <w:r w:rsidRPr="00AC50E6">
              <w:rPr>
                <w:lang w:eastAsia="ru-RU"/>
              </w:rPr>
              <w:t>3.1.3. Кожен документ має бути завантажений в систему у вигляді окремого електронного файлу у форматі розширення pdf та/або розширення програм, що здійснюють архівацію даних (WinRAR, 7-Zip). Забороняється обмежувати перегляд цих файлів шляхом встановлення на них паролів або у будь-який інший спосіб. Кожен завантажений файл повинен мати назву, яка дозволяє ідентифікувати документ.</w:t>
            </w:r>
          </w:p>
          <w:p w:rsidR="0019631E" w:rsidRPr="00AC50E6" w:rsidRDefault="0019631E" w:rsidP="00D05EA8">
            <w:pPr>
              <w:jc w:val="both"/>
              <w:rPr>
                <w:bCs/>
                <w:lang w:eastAsia="ru-RU"/>
              </w:rPr>
            </w:pPr>
            <w:r w:rsidRPr="00AC50E6">
              <w:rPr>
                <w:bCs/>
                <w:lang w:eastAsia="ru-RU"/>
              </w:rPr>
              <w:t>Відповідно до ч. 3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пропозиції/пропозицію. Файл накладеного підпису повинен бути придатний для перевірки на сайті Центрального засвідчувального органу за посиланням – http://czo.gov.ua/verify;</w:t>
            </w:r>
          </w:p>
          <w:p w:rsidR="0019631E" w:rsidRPr="00AC50E6" w:rsidRDefault="0019631E" w:rsidP="00D05EA8">
            <w:pPr>
              <w:jc w:val="both"/>
              <w:rPr>
                <w:lang w:eastAsia="ru-RU"/>
              </w:rPr>
            </w:pPr>
            <w:r w:rsidRPr="00AC50E6">
              <w:rPr>
                <w:iCs/>
                <w:lang w:eastAsia="ru-RU"/>
              </w:rPr>
              <w:t>Примітка:</w:t>
            </w:r>
            <w:r w:rsidRPr="00AC50E6">
              <w:rPr>
                <w:lang w:eastAsia="ru-RU"/>
              </w:rPr>
              <w:t xml:space="preserve"> у разі якщо учасник відповідно до норм чинного законодавства не зобов’язаний складати 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   </w:t>
            </w:r>
          </w:p>
          <w:p w:rsidR="0019631E" w:rsidRPr="00AC50E6" w:rsidRDefault="0019631E" w:rsidP="00D05EA8">
            <w:pPr>
              <w:tabs>
                <w:tab w:val="left" w:pos="646"/>
                <w:tab w:val="left" w:pos="10076"/>
                <w:tab w:val="left" w:pos="10992"/>
                <w:tab w:val="left" w:pos="11908"/>
                <w:tab w:val="left" w:pos="12824"/>
                <w:tab w:val="left" w:pos="13740"/>
                <w:tab w:val="left" w:pos="14656"/>
              </w:tabs>
              <w:jc w:val="both"/>
            </w:pPr>
            <w:r w:rsidRPr="00AC50E6">
              <w:t>У випадках, коли в оголошенні наявна вимога замовника про надання копії документа - це означає, що копія повинна бути належним чином посвідчена відповідно до вимог законодавства.</w:t>
            </w:r>
          </w:p>
        </w:tc>
      </w:tr>
      <w:tr w:rsidR="0019631E" w:rsidRPr="00AC50E6" w:rsidTr="00D05EA8">
        <w:trPr>
          <w:trHeight w:val="1129"/>
        </w:trPr>
        <w:tc>
          <w:tcPr>
            <w:tcW w:w="709" w:type="dxa"/>
          </w:tcPr>
          <w:p w:rsidR="0019631E" w:rsidRPr="00AC50E6" w:rsidRDefault="0019631E" w:rsidP="00D05EA8">
            <w:pPr>
              <w:jc w:val="center"/>
            </w:pPr>
            <w:r w:rsidRPr="00AC50E6">
              <w:lastRenderedPageBreak/>
              <w:t>3.2</w:t>
            </w:r>
          </w:p>
        </w:tc>
        <w:tc>
          <w:tcPr>
            <w:tcW w:w="3686" w:type="dxa"/>
          </w:tcPr>
          <w:p w:rsidR="0019631E" w:rsidRPr="00AC50E6" w:rsidRDefault="0019631E" w:rsidP="00D05EA8">
            <w:r w:rsidRPr="00AC50E6">
              <w:t>Кваліфікаційні критерії до учасників</w:t>
            </w:r>
          </w:p>
        </w:tc>
        <w:tc>
          <w:tcPr>
            <w:tcW w:w="5953" w:type="dxa"/>
          </w:tcPr>
          <w:p w:rsidR="0019631E" w:rsidRPr="00AC50E6" w:rsidRDefault="0019631E" w:rsidP="00D05EA8">
            <w:pPr>
              <w:jc w:val="both"/>
              <w:rPr>
                <w:lang w:eastAsia="ru-RU"/>
              </w:rPr>
            </w:pPr>
            <w:r w:rsidRPr="00AC50E6">
              <w:rPr>
                <w:lang w:eastAsia="ru-RU"/>
              </w:rPr>
              <w:t>Замовник установлює один або декілька кваліфікаційних критеріїв відповідно до статті 16 Закону, а саме:</w:t>
            </w:r>
          </w:p>
          <w:p w:rsidR="0019631E" w:rsidRPr="00AC50E6" w:rsidRDefault="0019631E" w:rsidP="00D05EA8">
            <w:pPr>
              <w:jc w:val="both"/>
              <w:rPr>
                <w:lang w:eastAsia="ru-RU"/>
              </w:rPr>
            </w:pPr>
            <w:r w:rsidRPr="00AC50E6">
              <w:rPr>
                <w:lang w:eastAsia="ru-RU"/>
              </w:rPr>
              <w:t>1) наявність в учасника закупівлі працівників відповідної кваліфікації, які мають необхідні знання та досвід;</w:t>
            </w:r>
          </w:p>
          <w:p w:rsidR="0019631E" w:rsidRPr="00AC50E6" w:rsidRDefault="0019631E" w:rsidP="00D05EA8">
            <w:pPr>
              <w:rPr>
                <w:bCs/>
              </w:rPr>
            </w:pPr>
            <w:r w:rsidRPr="00AC50E6">
              <w:rPr>
                <w:lang w:eastAsia="ru-RU"/>
              </w:rPr>
              <w:t xml:space="preserve">2) </w:t>
            </w:r>
            <w:r w:rsidRPr="00AC50E6">
              <w:rPr>
                <w:bCs/>
              </w:rPr>
              <w:t>наявність документально підтвердженого досвіду виконання аналогічного (аналогічних) за предметом закупівлі договору (договорів).</w:t>
            </w:r>
          </w:p>
          <w:p w:rsidR="0019631E" w:rsidRPr="00AC50E6" w:rsidRDefault="0019631E" w:rsidP="00D05EA8">
            <w:pPr>
              <w:jc w:val="both"/>
              <w:rPr>
                <w:lang w:eastAsia="ru-RU"/>
              </w:rPr>
            </w:pPr>
            <w:r w:rsidRPr="00AC50E6">
              <w:rPr>
                <w:lang w:eastAsia="ru-RU"/>
              </w:rPr>
              <w:t>Документальне підтвердження відповідності вищезазначеним критеріям визначено в Додатку № 4 до цього оголошення.</w:t>
            </w:r>
          </w:p>
        </w:tc>
      </w:tr>
      <w:tr w:rsidR="0019631E" w:rsidRPr="00AC50E6" w:rsidTr="00D05EA8">
        <w:tc>
          <w:tcPr>
            <w:tcW w:w="709" w:type="dxa"/>
          </w:tcPr>
          <w:p w:rsidR="0019631E" w:rsidRPr="00AC50E6" w:rsidRDefault="0019631E" w:rsidP="00D05EA8">
            <w:pPr>
              <w:jc w:val="center"/>
            </w:pPr>
            <w:r w:rsidRPr="00AC50E6">
              <w:t>3.3</w:t>
            </w:r>
          </w:p>
        </w:tc>
        <w:tc>
          <w:tcPr>
            <w:tcW w:w="3686" w:type="dxa"/>
          </w:tcPr>
          <w:p w:rsidR="0019631E" w:rsidRPr="00AC50E6" w:rsidRDefault="0019631E" w:rsidP="00D05EA8">
            <w:pPr>
              <w:rPr>
                <w:rFonts w:eastAsia="Calibri"/>
                <w:lang w:eastAsia="ru-RU"/>
              </w:rPr>
            </w:pPr>
            <w:r w:rsidRPr="00AC50E6">
              <w:rPr>
                <w:rFonts w:eastAsia="Calibri"/>
                <w:lang w:eastAsia="ru-RU"/>
              </w:rPr>
              <w:t>Інформація про необхідні технічні, якісні та кількісні характеристики предмета закупівлі</w:t>
            </w:r>
          </w:p>
        </w:tc>
        <w:tc>
          <w:tcPr>
            <w:tcW w:w="5953" w:type="dxa"/>
          </w:tcPr>
          <w:p w:rsidR="0019631E" w:rsidRPr="00AC50E6" w:rsidRDefault="0019631E" w:rsidP="00D05EA8">
            <w:pPr>
              <w:ind w:firstLine="284"/>
              <w:jc w:val="both"/>
              <w:rPr>
                <w:b/>
              </w:rPr>
            </w:pPr>
            <w:r w:rsidRPr="00AC50E6">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та/або чинним законодавством.</w:t>
            </w:r>
          </w:p>
          <w:p w:rsidR="0019631E" w:rsidRPr="00AC50E6" w:rsidRDefault="0019631E" w:rsidP="00D05EA8">
            <w:pPr>
              <w:jc w:val="both"/>
              <w:rPr>
                <w:rFonts w:eastAsia="Calibri"/>
                <w:i/>
                <w:iCs/>
              </w:rPr>
            </w:pPr>
            <w:r w:rsidRPr="00AC50E6">
              <w:t xml:space="preserve">Технічні вимоги до предмету закупівлі містяться у </w:t>
            </w:r>
            <w:r w:rsidRPr="00AC50E6">
              <w:rPr>
                <w:b/>
              </w:rPr>
              <w:t xml:space="preserve">Додатку 3 </w:t>
            </w:r>
            <w:r w:rsidRPr="00AC50E6">
              <w:t>до оголошення .</w:t>
            </w:r>
          </w:p>
        </w:tc>
      </w:tr>
      <w:tr w:rsidR="0019631E" w:rsidRPr="00AC50E6" w:rsidTr="00D05EA8">
        <w:tc>
          <w:tcPr>
            <w:tcW w:w="709" w:type="dxa"/>
          </w:tcPr>
          <w:p w:rsidR="0019631E" w:rsidRPr="00AC50E6" w:rsidRDefault="0019631E" w:rsidP="00D05EA8">
            <w:pPr>
              <w:jc w:val="center"/>
            </w:pPr>
            <w:r w:rsidRPr="00AC50E6">
              <w:t>3.4</w:t>
            </w:r>
          </w:p>
        </w:tc>
        <w:tc>
          <w:tcPr>
            <w:tcW w:w="3686" w:type="dxa"/>
          </w:tcPr>
          <w:p w:rsidR="0019631E" w:rsidRPr="00AC50E6" w:rsidRDefault="0019631E" w:rsidP="00D05EA8">
            <w:pPr>
              <w:rPr>
                <w:rFonts w:eastAsia="Calibri"/>
                <w:lang w:eastAsia="ru-RU"/>
              </w:rPr>
            </w:pPr>
            <w:r w:rsidRPr="00AC50E6">
              <w:rPr>
                <w:rFonts w:eastAsia="Calibri"/>
                <w:lang w:eastAsia="ru-RU"/>
              </w:rPr>
              <w:t>Інформація про субпідрядника/співвиконавця (субпідрядників/співвиконавців)</w:t>
            </w:r>
          </w:p>
        </w:tc>
        <w:tc>
          <w:tcPr>
            <w:tcW w:w="5953" w:type="dxa"/>
          </w:tcPr>
          <w:p w:rsidR="0019631E" w:rsidRPr="00AC50E6" w:rsidRDefault="0019631E" w:rsidP="00D05EA8">
            <w:pPr>
              <w:contextualSpacing/>
              <w:jc w:val="both"/>
              <w:rPr>
                <w:rFonts w:eastAsia="Calibri"/>
              </w:rPr>
            </w:pPr>
            <w:r w:rsidRPr="00AC50E6">
              <w:t>Інформація про субпідрядника не надається, так як здійснюється закупівля товару.</w:t>
            </w:r>
          </w:p>
        </w:tc>
      </w:tr>
      <w:tr w:rsidR="0019631E" w:rsidRPr="00AC50E6" w:rsidTr="00D05EA8">
        <w:tc>
          <w:tcPr>
            <w:tcW w:w="709" w:type="dxa"/>
          </w:tcPr>
          <w:p w:rsidR="0019631E" w:rsidRPr="00AC50E6" w:rsidRDefault="0019631E" w:rsidP="00D05EA8">
            <w:pPr>
              <w:jc w:val="center"/>
            </w:pPr>
            <w:r w:rsidRPr="00AC50E6">
              <w:t>3.5</w:t>
            </w:r>
          </w:p>
        </w:tc>
        <w:tc>
          <w:tcPr>
            <w:tcW w:w="3686" w:type="dxa"/>
          </w:tcPr>
          <w:p w:rsidR="0019631E" w:rsidRPr="00AC50E6" w:rsidRDefault="0019631E" w:rsidP="00D05EA8">
            <w:pPr>
              <w:rPr>
                <w:rFonts w:eastAsia="Calibri"/>
                <w:lang w:eastAsia="ru-RU"/>
              </w:rPr>
            </w:pPr>
            <w:r w:rsidRPr="00AC50E6">
              <w:t>Унесення змін або відкликання пропозиції учасником</w:t>
            </w:r>
          </w:p>
        </w:tc>
        <w:tc>
          <w:tcPr>
            <w:tcW w:w="5953" w:type="dxa"/>
          </w:tcPr>
          <w:p w:rsidR="0019631E" w:rsidRPr="00AC50E6" w:rsidRDefault="0019631E" w:rsidP="00D05EA8">
            <w:pPr>
              <w:jc w:val="both"/>
            </w:pPr>
            <w:r w:rsidRPr="00AC50E6">
              <w:t>Учасник має право внести зміни або відкликати свою пропозицію до закінчення строку її подання без втрати свого забезпечення пропозиції (якщо таке забезпечення було передбачено оголошенням про проведення спрощеної закупівлі).</w:t>
            </w:r>
          </w:p>
          <w:p w:rsidR="0019631E" w:rsidRPr="00AC50E6" w:rsidRDefault="0019631E" w:rsidP="00D05EA8">
            <w:pPr>
              <w:jc w:val="both"/>
              <w:rPr>
                <w:rFonts w:eastAsia="Calibri"/>
              </w:rPr>
            </w:pPr>
            <w:r w:rsidRPr="00AC50E6">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9631E" w:rsidRPr="00AC50E6" w:rsidTr="00D05EA8">
        <w:tc>
          <w:tcPr>
            <w:tcW w:w="709" w:type="dxa"/>
          </w:tcPr>
          <w:p w:rsidR="0019631E" w:rsidRPr="00AC50E6" w:rsidRDefault="0019631E" w:rsidP="00D05EA8">
            <w:pPr>
              <w:jc w:val="center"/>
            </w:pPr>
          </w:p>
        </w:tc>
        <w:tc>
          <w:tcPr>
            <w:tcW w:w="9639" w:type="dxa"/>
            <w:gridSpan w:val="2"/>
          </w:tcPr>
          <w:p w:rsidR="0019631E" w:rsidRPr="00AC50E6" w:rsidRDefault="0019631E" w:rsidP="00D05EA8">
            <w:pPr>
              <w:jc w:val="center"/>
              <w:rPr>
                <w:lang w:eastAsia="ru-RU"/>
              </w:rPr>
            </w:pPr>
            <w:r w:rsidRPr="00AC50E6">
              <w:rPr>
                <w:kern w:val="2"/>
                <w:lang w:eastAsia="ar-SA"/>
              </w:rPr>
              <w:t>Розділ 4. Подання та розкриття пропозицій</w:t>
            </w:r>
          </w:p>
        </w:tc>
      </w:tr>
      <w:tr w:rsidR="0019631E" w:rsidRPr="00586BF7" w:rsidTr="00D05EA8">
        <w:tc>
          <w:tcPr>
            <w:tcW w:w="709" w:type="dxa"/>
          </w:tcPr>
          <w:p w:rsidR="0019631E" w:rsidRPr="00AC50E6" w:rsidRDefault="0019631E" w:rsidP="00D05EA8">
            <w:pPr>
              <w:jc w:val="center"/>
            </w:pPr>
            <w:r w:rsidRPr="00AC50E6">
              <w:t>4.1</w:t>
            </w:r>
          </w:p>
        </w:tc>
        <w:tc>
          <w:tcPr>
            <w:tcW w:w="3686" w:type="dxa"/>
          </w:tcPr>
          <w:p w:rsidR="0019631E" w:rsidRPr="00AC50E6" w:rsidRDefault="0019631E" w:rsidP="00D05EA8">
            <w:r w:rsidRPr="00AC50E6">
              <w:t>Порядок подання пропозицій та кінцевий строк подання пропозицій</w:t>
            </w:r>
          </w:p>
          <w:p w:rsidR="0019631E" w:rsidRPr="00AC50E6" w:rsidRDefault="0019631E" w:rsidP="00D05EA8"/>
          <w:p w:rsidR="0019631E" w:rsidRPr="00AC50E6" w:rsidRDefault="0019631E" w:rsidP="00D05EA8"/>
        </w:tc>
        <w:tc>
          <w:tcPr>
            <w:tcW w:w="5953" w:type="dxa"/>
          </w:tcPr>
          <w:p w:rsidR="0019631E" w:rsidRPr="00AC50E6" w:rsidRDefault="0019631E" w:rsidP="00D05EA8">
            <w:pPr>
              <w:keepNext/>
              <w:keepLines/>
              <w:jc w:val="both"/>
              <w:rPr>
                <w:kern w:val="2"/>
                <w:lang w:eastAsia="ar-SA"/>
              </w:rPr>
            </w:pPr>
            <w:r w:rsidRPr="00AC50E6">
              <w:rPr>
                <w:kern w:val="2"/>
                <w:lang w:eastAsia="ar-SA"/>
              </w:rPr>
              <w:t>1.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631E" w:rsidRPr="00AC50E6" w:rsidRDefault="0019631E" w:rsidP="00D05EA8">
            <w:pPr>
              <w:keepNext/>
              <w:keepLines/>
              <w:jc w:val="both"/>
              <w:rPr>
                <w:kern w:val="2"/>
                <w:lang w:eastAsia="ar-SA"/>
              </w:rPr>
            </w:pPr>
            <w:r w:rsidRPr="00AC50E6">
              <w:rPr>
                <w:kern w:val="2"/>
                <w:lang w:eastAsia="ar-SA"/>
              </w:rPr>
              <w:t>2.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19631E" w:rsidRPr="00AC50E6" w:rsidRDefault="0019631E" w:rsidP="00D05EA8">
            <w:pPr>
              <w:keepNext/>
              <w:keepLines/>
              <w:jc w:val="both"/>
              <w:rPr>
                <w:kern w:val="2"/>
                <w:lang w:eastAsia="ar-SA"/>
              </w:rPr>
            </w:pPr>
            <w:r w:rsidRPr="00AC50E6">
              <w:rPr>
                <w:kern w:val="2"/>
                <w:lang w:eastAsia="ar-SA"/>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rsidR="0019631E" w:rsidRPr="00AC50E6" w:rsidRDefault="0019631E" w:rsidP="00D05EA8">
            <w:pPr>
              <w:keepNext/>
              <w:keepLines/>
              <w:jc w:val="both"/>
              <w:rPr>
                <w:kern w:val="2"/>
                <w:lang w:eastAsia="ar-SA"/>
              </w:rPr>
            </w:pPr>
            <w:r w:rsidRPr="00AC50E6">
              <w:rPr>
                <w:kern w:val="2"/>
                <w:lang w:eastAsia="ar-SA"/>
              </w:rPr>
              <w:t>3. Отримана пропозиція вноситься автоматично до реєстру отриманих пропозицій, у якому відображається інформація про надані пропозиції, а саме:</w:t>
            </w:r>
          </w:p>
          <w:p w:rsidR="0019631E" w:rsidRPr="00AC50E6" w:rsidRDefault="0019631E" w:rsidP="00D05EA8">
            <w:pPr>
              <w:keepNext/>
              <w:keepLines/>
              <w:jc w:val="both"/>
              <w:rPr>
                <w:kern w:val="2"/>
                <w:lang w:eastAsia="ar-SA"/>
              </w:rPr>
            </w:pPr>
            <w:r w:rsidRPr="00AC50E6">
              <w:rPr>
                <w:kern w:val="2"/>
                <w:lang w:eastAsia="ar-SA"/>
              </w:rPr>
              <w:t>1) унікальний номер оголошення про проведення спрощеної закупівлі, присвоєний електронною системою закупівель;</w:t>
            </w:r>
          </w:p>
          <w:p w:rsidR="0019631E" w:rsidRPr="00AC50E6" w:rsidRDefault="0019631E" w:rsidP="00D05EA8">
            <w:pPr>
              <w:keepNext/>
              <w:keepLines/>
              <w:jc w:val="both"/>
              <w:rPr>
                <w:kern w:val="2"/>
                <w:lang w:eastAsia="ar-SA"/>
              </w:rPr>
            </w:pPr>
            <w:r w:rsidRPr="00AC50E6">
              <w:rPr>
                <w:kern w:val="2"/>
                <w:lang w:eastAsia="ar-S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19631E" w:rsidRPr="00AC50E6" w:rsidRDefault="0019631E" w:rsidP="00D05EA8">
            <w:pPr>
              <w:keepNext/>
              <w:keepLines/>
              <w:jc w:val="both"/>
              <w:rPr>
                <w:kern w:val="2"/>
                <w:lang w:eastAsia="ar-SA"/>
              </w:rPr>
            </w:pPr>
            <w:r w:rsidRPr="00AC50E6">
              <w:rPr>
                <w:kern w:val="2"/>
                <w:lang w:eastAsia="ar-SA"/>
              </w:rPr>
              <w:t>3) дата та час подання пропозиції.</w:t>
            </w:r>
          </w:p>
          <w:p w:rsidR="0019631E" w:rsidRPr="00AC50E6" w:rsidRDefault="0019631E" w:rsidP="00D05EA8">
            <w:pPr>
              <w:keepNext/>
              <w:keepLines/>
              <w:jc w:val="both"/>
              <w:rPr>
                <w:kern w:val="2"/>
                <w:lang w:eastAsia="ar-SA"/>
              </w:rPr>
            </w:pPr>
            <w:r w:rsidRPr="00AC50E6">
              <w:rPr>
                <w:kern w:val="2"/>
                <w:lang w:eastAsia="ar-SA"/>
              </w:rPr>
              <w:t>4.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19631E" w:rsidRPr="00586BF7" w:rsidTr="00D05EA8">
        <w:tc>
          <w:tcPr>
            <w:tcW w:w="709" w:type="dxa"/>
          </w:tcPr>
          <w:p w:rsidR="0019631E" w:rsidRPr="00AC50E6" w:rsidRDefault="0019631E" w:rsidP="00D05EA8">
            <w:pPr>
              <w:jc w:val="center"/>
            </w:pPr>
            <w:r w:rsidRPr="00AC50E6">
              <w:t>4.2</w:t>
            </w:r>
          </w:p>
        </w:tc>
        <w:tc>
          <w:tcPr>
            <w:tcW w:w="3686" w:type="dxa"/>
          </w:tcPr>
          <w:p w:rsidR="0019631E" w:rsidRPr="00AC50E6" w:rsidRDefault="0019631E" w:rsidP="00D05EA8">
            <w:r w:rsidRPr="00AC50E6">
              <w:t>Розкриття пропозицій</w:t>
            </w:r>
          </w:p>
        </w:tc>
        <w:tc>
          <w:tcPr>
            <w:tcW w:w="5953" w:type="dxa"/>
          </w:tcPr>
          <w:p w:rsidR="0019631E" w:rsidRPr="00AC50E6" w:rsidRDefault="0019631E" w:rsidP="00D05EA8">
            <w:pPr>
              <w:keepNext/>
              <w:keepLines/>
              <w:jc w:val="both"/>
              <w:rPr>
                <w:kern w:val="2"/>
                <w:lang w:eastAsia="ar-SA"/>
              </w:rPr>
            </w:pPr>
            <w:r w:rsidRPr="00AC50E6">
              <w:rPr>
                <w:kern w:val="2"/>
                <w:lang w:eastAsia="ar-SA"/>
              </w:rPr>
              <w:t>1.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9631E" w:rsidRPr="00AC50E6" w:rsidRDefault="0019631E" w:rsidP="00D05EA8">
            <w:pPr>
              <w:keepNext/>
              <w:keepLines/>
              <w:jc w:val="both"/>
              <w:rPr>
                <w:kern w:val="2"/>
                <w:lang w:eastAsia="ar-SA"/>
              </w:rPr>
            </w:pPr>
            <w:r w:rsidRPr="00AC50E6">
              <w:rPr>
                <w:kern w:val="2"/>
                <w:lang w:eastAsia="ar-SA"/>
              </w:rPr>
              <w:t xml:space="preserve">2. Під час розкриття пропозицій автоматично розкривається вся інформація, зазначена в пропозиціях учасників, та формується </w:t>
            </w:r>
            <w:r w:rsidRPr="00AC50E6">
              <w:rPr>
                <w:kern w:val="2"/>
                <w:lang w:eastAsia="ar-SA"/>
              </w:rPr>
              <w:lastRenderedPageBreak/>
              <w:t>список учасників у порядку від найнижчої до найвищої запропонованої ними ціни/приведеної ціни.</w:t>
            </w:r>
          </w:p>
          <w:p w:rsidR="0019631E" w:rsidRPr="00AC50E6" w:rsidRDefault="0019631E" w:rsidP="00D05EA8">
            <w:pPr>
              <w:keepNext/>
              <w:keepLines/>
              <w:jc w:val="both"/>
              <w:rPr>
                <w:kern w:val="2"/>
                <w:lang w:eastAsia="ar-SA"/>
              </w:rPr>
            </w:pPr>
            <w:r w:rsidRPr="00AC50E6">
              <w:rPr>
                <w:kern w:val="2"/>
                <w:lang w:eastAsia="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p>
        </w:tc>
      </w:tr>
      <w:tr w:rsidR="0019631E" w:rsidRPr="00AC50E6" w:rsidTr="00D05EA8">
        <w:tc>
          <w:tcPr>
            <w:tcW w:w="709" w:type="dxa"/>
          </w:tcPr>
          <w:p w:rsidR="0019631E" w:rsidRPr="00AC50E6" w:rsidRDefault="0019631E" w:rsidP="00D05EA8">
            <w:pPr>
              <w:jc w:val="center"/>
            </w:pPr>
          </w:p>
        </w:tc>
        <w:tc>
          <w:tcPr>
            <w:tcW w:w="9639" w:type="dxa"/>
            <w:gridSpan w:val="2"/>
          </w:tcPr>
          <w:p w:rsidR="0019631E" w:rsidRPr="00AC50E6" w:rsidRDefault="0019631E" w:rsidP="00D05EA8">
            <w:pPr>
              <w:jc w:val="center"/>
              <w:rPr>
                <w:lang w:eastAsia="ru-RU"/>
              </w:rPr>
            </w:pPr>
            <w:r w:rsidRPr="00AC50E6">
              <w:t>Розділ 5. Оцінка пропозицій</w:t>
            </w:r>
          </w:p>
        </w:tc>
      </w:tr>
      <w:tr w:rsidR="0019631E" w:rsidRPr="00AC50E6" w:rsidTr="00D05EA8">
        <w:tc>
          <w:tcPr>
            <w:tcW w:w="709" w:type="dxa"/>
          </w:tcPr>
          <w:p w:rsidR="0019631E" w:rsidRPr="00AC50E6" w:rsidRDefault="0019631E" w:rsidP="00D05EA8">
            <w:pPr>
              <w:jc w:val="center"/>
            </w:pPr>
            <w:r w:rsidRPr="00AC50E6">
              <w:t>5.1</w:t>
            </w:r>
          </w:p>
        </w:tc>
        <w:tc>
          <w:tcPr>
            <w:tcW w:w="3686" w:type="dxa"/>
          </w:tcPr>
          <w:p w:rsidR="0019631E" w:rsidRPr="00AC50E6" w:rsidRDefault="0019631E" w:rsidP="00D05EA8">
            <w:r w:rsidRPr="00AC50E6">
              <w:t xml:space="preserve">Перелік критеріїв та методика оцінки пропозиції </w:t>
            </w:r>
          </w:p>
        </w:tc>
        <w:tc>
          <w:tcPr>
            <w:tcW w:w="5953" w:type="dxa"/>
          </w:tcPr>
          <w:p w:rsidR="0019631E" w:rsidRPr="00AC50E6" w:rsidRDefault="0019631E" w:rsidP="00D05EA8">
            <w:pPr>
              <w:jc w:val="both"/>
              <w:rPr>
                <w:iCs/>
              </w:rPr>
            </w:pPr>
            <w:r w:rsidRPr="00AC50E6">
              <w:rPr>
                <w:iCs/>
              </w:rPr>
              <w:t>1.</w:t>
            </w:r>
            <w:r w:rsidRPr="00AC50E6">
              <w:t xml:space="preserve"> </w:t>
            </w:r>
            <w:r w:rsidRPr="00AC50E6">
              <w:rPr>
                <w:iCs/>
              </w:rPr>
              <w:t>Оцінка пропозицій проводиться автоматично електронною системою закупівель на основі критеріїв і методики оцінки, зазначених замовником у оголошенні про проведення спрощеної закупівлі, шляхом застосування електронного аукціону.</w:t>
            </w:r>
          </w:p>
          <w:p w:rsidR="0019631E" w:rsidRPr="00AC50E6" w:rsidRDefault="0019631E" w:rsidP="00D05EA8">
            <w:pPr>
              <w:jc w:val="both"/>
              <w:rPr>
                <w:iCs/>
              </w:rPr>
            </w:pPr>
            <w:r w:rsidRPr="00AC50E6">
              <w:rPr>
                <w:iCs/>
              </w:rPr>
              <w:t>Дата і час проведення електронного аукціону визначаються електронною системою закупівель автоматично.</w:t>
            </w:r>
          </w:p>
          <w:p w:rsidR="0019631E" w:rsidRPr="00AC50E6" w:rsidRDefault="0019631E" w:rsidP="00D05EA8">
            <w:pPr>
              <w:jc w:val="both"/>
              <w:rPr>
                <w:iCs/>
              </w:rPr>
            </w:pPr>
            <w:r w:rsidRPr="00AC50E6">
              <w:rPr>
                <w:iCs/>
              </w:rPr>
              <w:t>2. Критеріями оцінки є ціна з/без ПДВ.</w:t>
            </w:r>
          </w:p>
          <w:p w:rsidR="0019631E" w:rsidRPr="00AC50E6" w:rsidRDefault="0019631E" w:rsidP="00D05EA8">
            <w:pPr>
              <w:jc w:val="both"/>
              <w:rPr>
                <w:iCs/>
              </w:rPr>
            </w:pPr>
            <w:r w:rsidRPr="00AC50E6">
              <w:rPr>
                <w:iCs/>
              </w:rPr>
              <w:t>3.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w:t>
            </w:r>
          </w:p>
          <w:p w:rsidR="0019631E" w:rsidRPr="00AC50E6" w:rsidRDefault="0019631E" w:rsidP="00D05EA8">
            <w:pPr>
              <w:jc w:val="both"/>
              <w:rPr>
                <w:iCs/>
              </w:rPr>
            </w:pPr>
            <w:r w:rsidRPr="00AC50E6">
              <w:rPr>
                <w:iCs/>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 В складі пропозиції учасником надається гарантійний лист про те, що під час участі в аукціоні учасник зобов'язується дотримуватись принципів добросовісної конкуренції та уникати штучного та невиправданого занижування (демпінгування) своєї ціни.</w:t>
            </w:r>
          </w:p>
          <w:p w:rsidR="0019631E" w:rsidRPr="00AC50E6" w:rsidRDefault="0019631E" w:rsidP="00D05EA8">
            <w:pPr>
              <w:jc w:val="both"/>
              <w:rPr>
                <w:iCs/>
              </w:rPr>
            </w:pPr>
            <w:r w:rsidRPr="00AC50E6">
              <w:rPr>
                <w:iCs/>
              </w:rPr>
              <w:t>4. Після оцінки пропозицій замовник розглядає на відповідність вимогам оголошення про проведення спрощеної закупівлі пропозицію, яка визначена найбільш економічно вигідною.</w:t>
            </w:r>
          </w:p>
          <w:p w:rsidR="0019631E" w:rsidRPr="00AC50E6" w:rsidRDefault="0019631E" w:rsidP="00D05EA8">
            <w:pPr>
              <w:jc w:val="both"/>
              <w:rPr>
                <w:iCs/>
              </w:rPr>
            </w:pPr>
            <w:r w:rsidRPr="00AC50E6">
              <w:rPr>
                <w:iCs/>
              </w:rPr>
              <w:t>5.1.5. Строк розгляду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31E" w:rsidRPr="00AC50E6" w:rsidRDefault="0019631E" w:rsidP="00D05EA8">
            <w:pPr>
              <w:jc w:val="both"/>
              <w:rPr>
                <w:iCs/>
              </w:rPr>
            </w:pPr>
            <w:r w:rsidRPr="00AC50E6">
              <w:rPr>
                <w:iCs/>
              </w:rPr>
              <w:t>5.1.6.У разі відхилення пропозиції, що за результатами оцінки визначена найбільш економічно вигідною, замовник розглядає наступну пропозицію у списку пропозицій, розташованих за результатами їх оцінки, починаючи з найкращої.</w:t>
            </w:r>
          </w:p>
          <w:p w:rsidR="0019631E" w:rsidRPr="00AC50E6" w:rsidRDefault="0019631E" w:rsidP="00D05EA8">
            <w:pPr>
              <w:jc w:val="both"/>
              <w:rPr>
                <w:iCs/>
              </w:rPr>
            </w:pPr>
            <w:r w:rsidRPr="00AC50E6">
              <w:rPr>
                <w:iCs/>
              </w:rPr>
              <w:t>5.1.7. За результатами розгляду та оцінки пропозиції замовник визначає переможця спрощеної закупівлі та приймає рішення про намір укласти договір про закупівлю.</w:t>
            </w:r>
          </w:p>
          <w:p w:rsidR="0019631E" w:rsidRPr="00AC50E6" w:rsidRDefault="0019631E" w:rsidP="00D05EA8">
            <w:pPr>
              <w:jc w:val="both"/>
              <w:rPr>
                <w:iCs/>
              </w:rPr>
            </w:pPr>
            <w:r w:rsidRPr="00AC50E6">
              <w:rPr>
                <w:iCs/>
              </w:rPr>
              <w:t>5.1.8. Повідомлення про намір укласти договір про закупівлю замовник оприлюднює в електронній системі закупівель.</w:t>
            </w:r>
          </w:p>
          <w:p w:rsidR="0019631E" w:rsidRPr="00AC50E6" w:rsidRDefault="0019631E" w:rsidP="00D05EA8">
            <w:pPr>
              <w:jc w:val="both"/>
              <w:rPr>
                <w:iCs/>
              </w:rPr>
            </w:pPr>
            <w:r w:rsidRPr="00AC50E6">
              <w:rPr>
                <w:iCs/>
              </w:rPr>
              <w:t>Рішення про намір укласти договір про закупівлю приймається замовником у день визначення учасника переможцем спрощеної закупівлі.</w:t>
            </w:r>
          </w:p>
          <w:p w:rsidR="0019631E" w:rsidRPr="00AC50E6" w:rsidRDefault="0019631E" w:rsidP="00D05EA8">
            <w:pPr>
              <w:jc w:val="both"/>
              <w:rPr>
                <w:iCs/>
              </w:rPr>
            </w:pPr>
            <w:r w:rsidRPr="00AC50E6">
              <w:rPr>
                <w:iCs/>
              </w:rPr>
              <w:t>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tc>
      </w:tr>
      <w:tr w:rsidR="0019631E" w:rsidRPr="00AC50E6" w:rsidTr="00D05EA8">
        <w:tc>
          <w:tcPr>
            <w:tcW w:w="709" w:type="dxa"/>
          </w:tcPr>
          <w:p w:rsidR="0019631E" w:rsidRPr="00AC50E6" w:rsidRDefault="0019631E" w:rsidP="00D05EA8">
            <w:pPr>
              <w:jc w:val="center"/>
            </w:pPr>
            <w:r w:rsidRPr="00AC50E6">
              <w:t>5.2</w:t>
            </w:r>
          </w:p>
        </w:tc>
        <w:tc>
          <w:tcPr>
            <w:tcW w:w="3686" w:type="dxa"/>
          </w:tcPr>
          <w:p w:rsidR="0019631E" w:rsidRPr="00AC50E6" w:rsidRDefault="0019631E" w:rsidP="00D05EA8">
            <w:r w:rsidRPr="00AC50E6">
              <w:t>Відхилення пропозицій</w:t>
            </w:r>
          </w:p>
        </w:tc>
        <w:tc>
          <w:tcPr>
            <w:tcW w:w="5953" w:type="dxa"/>
          </w:tcPr>
          <w:p w:rsidR="0019631E" w:rsidRPr="00AC50E6" w:rsidRDefault="0019631E" w:rsidP="00D05EA8">
            <w:pPr>
              <w:jc w:val="both"/>
            </w:pPr>
            <w:r w:rsidRPr="00AC50E6">
              <w:t>5.2.1. Замовник відхиляє пропозицію в разі, якщо:</w:t>
            </w:r>
          </w:p>
          <w:p w:rsidR="0019631E" w:rsidRPr="00AC50E6" w:rsidRDefault="0019631E" w:rsidP="00D05EA8">
            <w:pPr>
              <w:jc w:val="both"/>
            </w:pPr>
            <w:r w:rsidRPr="00AC50E6">
              <w:t>1) пропозиція учасника не відповідає умовам, визначеним в оголошенні про проведення спрощеної закупівлі, та вимогам до предмета закупівлі;</w:t>
            </w:r>
          </w:p>
          <w:p w:rsidR="0019631E" w:rsidRPr="00AC50E6" w:rsidRDefault="0019631E" w:rsidP="00D05EA8">
            <w:pPr>
              <w:jc w:val="both"/>
            </w:pPr>
            <w:r w:rsidRPr="00AC50E6">
              <w:t>2) учасник не надав забезпечення пропозиції, якщо таке забезпечення вимагалося замовником;</w:t>
            </w:r>
          </w:p>
          <w:p w:rsidR="0019631E" w:rsidRPr="00AC50E6" w:rsidRDefault="0019631E" w:rsidP="00D05EA8">
            <w:pPr>
              <w:jc w:val="both"/>
            </w:pPr>
            <w:r w:rsidRPr="00AC50E6">
              <w:t>3) учасник, який визначений переможцем спрощеної закупівлі, відмовився від укладення договору про закупівлю;</w:t>
            </w:r>
          </w:p>
          <w:p w:rsidR="0019631E" w:rsidRPr="00AC50E6" w:rsidRDefault="0019631E" w:rsidP="00D05EA8">
            <w:pPr>
              <w:jc w:val="both"/>
            </w:pPr>
            <w:r w:rsidRPr="00AC50E6">
              <w:t xml:space="preserve">4) якщо учасник протягом одного року до дати оприлюднення </w:t>
            </w:r>
            <w:r w:rsidRPr="00AC50E6">
              <w:lastRenderedPageBreak/>
              <w:t>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9631E" w:rsidRPr="00AC50E6" w:rsidRDefault="0019631E" w:rsidP="00D05EA8">
            <w:pPr>
              <w:jc w:val="both"/>
            </w:pPr>
            <w:r w:rsidRPr="00AC50E6">
              <w:t>5.2.2. 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19631E" w:rsidRPr="00AC50E6" w:rsidRDefault="0019631E" w:rsidP="00D05EA8">
            <w:pPr>
              <w:jc w:val="both"/>
            </w:pPr>
            <w:r w:rsidRPr="00AC50E6">
              <w:t>5.2.3.Учасник,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19631E" w:rsidRPr="00AC50E6" w:rsidTr="00D05EA8">
        <w:tc>
          <w:tcPr>
            <w:tcW w:w="709" w:type="dxa"/>
          </w:tcPr>
          <w:p w:rsidR="0019631E" w:rsidRPr="00AC50E6" w:rsidRDefault="0019631E" w:rsidP="00D05EA8">
            <w:pPr>
              <w:jc w:val="center"/>
            </w:pPr>
          </w:p>
        </w:tc>
        <w:tc>
          <w:tcPr>
            <w:tcW w:w="9639" w:type="dxa"/>
            <w:gridSpan w:val="2"/>
          </w:tcPr>
          <w:p w:rsidR="0019631E" w:rsidRPr="00AC50E6" w:rsidRDefault="0019631E" w:rsidP="00D05EA8">
            <w:pPr>
              <w:jc w:val="center"/>
              <w:rPr>
                <w:lang w:eastAsia="ru-RU"/>
              </w:rPr>
            </w:pPr>
            <w:r w:rsidRPr="00AC50E6">
              <w:t>Розділ 6. Результати спрощеної закупівлі та укладання договору про закупівлю</w:t>
            </w:r>
          </w:p>
        </w:tc>
      </w:tr>
      <w:tr w:rsidR="0019631E" w:rsidRPr="00AC50E6" w:rsidTr="00D05EA8">
        <w:tc>
          <w:tcPr>
            <w:tcW w:w="709" w:type="dxa"/>
          </w:tcPr>
          <w:p w:rsidR="0019631E" w:rsidRPr="00AC50E6" w:rsidRDefault="0019631E" w:rsidP="00D05EA8">
            <w:pPr>
              <w:jc w:val="center"/>
            </w:pPr>
            <w:r w:rsidRPr="00AC50E6">
              <w:t>6.1.</w:t>
            </w:r>
          </w:p>
        </w:tc>
        <w:tc>
          <w:tcPr>
            <w:tcW w:w="3686" w:type="dxa"/>
          </w:tcPr>
          <w:p w:rsidR="0019631E" w:rsidRPr="00AC50E6" w:rsidRDefault="0019631E" w:rsidP="00D05EA8">
            <w:r w:rsidRPr="00AC50E6">
              <w:t>Відміна спрощеної закупівлі</w:t>
            </w:r>
          </w:p>
          <w:p w:rsidR="0019631E" w:rsidRPr="00AC50E6" w:rsidRDefault="0019631E" w:rsidP="00D05EA8"/>
          <w:p w:rsidR="0019631E" w:rsidRPr="00AC50E6" w:rsidRDefault="0019631E" w:rsidP="00D05EA8"/>
        </w:tc>
        <w:tc>
          <w:tcPr>
            <w:tcW w:w="5953" w:type="dxa"/>
          </w:tcPr>
          <w:p w:rsidR="0019631E" w:rsidRPr="00AC50E6" w:rsidRDefault="0019631E" w:rsidP="00D05EA8">
            <w:pPr>
              <w:jc w:val="both"/>
            </w:pPr>
            <w:r w:rsidRPr="00AC50E6">
              <w:t>6.1.1. Замовник відміняє спрощену закупівлю в разі:</w:t>
            </w:r>
          </w:p>
          <w:p w:rsidR="0019631E" w:rsidRPr="00AC50E6" w:rsidRDefault="0019631E" w:rsidP="00D05EA8">
            <w:pPr>
              <w:jc w:val="both"/>
            </w:pPr>
            <w:r w:rsidRPr="00AC50E6">
              <w:t>1) відсутності подальшої потреби в закупівлі товарів, робіт і послуг;</w:t>
            </w:r>
          </w:p>
          <w:p w:rsidR="0019631E" w:rsidRPr="00AC50E6" w:rsidRDefault="0019631E" w:rsidP="00D05EA8">
            <w:pPr>
              <w:jc w:val="both"/>
            </w:pPr>
            <w:r w:rsidRPr="00AC50E6">
              <w:t>2) неможливості усунення порушень, що виникли через виявлені порушення законодавства з питань публічних закупівель;</w:t>
            </w:r>
          </w:p>
          <w:p w:rsidR="0019631E" w:rsidRPr="00AC50E6" w:rsidRDefault="0019631E" w:rsidP="00D05EA8">
            <w:pPr>
              <w:jc w:val="both"/>
            </w:pPr>
            <w:r w:rsidRPr="00AC50E6">
              <w:t>3) скорочення видатків на здійснення закупівлі товарів, робіт і послуг.</w:t>
            </w:r>
          </w:p>
          <w:p w:rsidR="0019631E" w:rsidRPr="00AC50E6" w:rsidRDefault="0019631E" w:rsidP="00D05EA8">
            <w:pPr>
              <w:jc w:val="both"/>
            </w:pPr>
            <w:r w:rsidRPr="00AC50E6">
              <w:t>6.1.2. Спрощена закупівля автоматично відміняється електронною системою закупівель у разі:</w:t>
            </w:r>
          </w:p>
          <w:p w:rsidR="0019631E" w:rsidRPr="00AC50E6" w:rsidRDefault="0019631E" w:rsidP="00D05EA8">
            <w:pPr>
              <w:jc w:val="both"/>
            </w:pPr>
            <w:r w:rsidRPr="00AC50E6">
              <w:t>1) відхилення всіх пропозицій згідно з частиною 13 статті 14;</w:t>
            </w:r>
          </w:p>
          <w:p w:rsidR="0019631E" w:rsidRPr="00AC50E6" w:rsidRDefault="0019631E" w:rsidP="00D05EA8">
            <w:pPr>
              <w:jc w:val="both"/>
            </w:pPr>
            <w:r w:rsidRPr="00AC50E6">
              <w:t>2) відсутності пропозицій учасників для участі в ній.</w:t>
            </w:r>
          </w:p>
          <w:p w:rsidR="0019631E" w:rsidRPr="00AC50E6" w:rsidRDefault="0019631E" w:rsidP="00D05EA8">
            <w:pPr>
              <w:jc w:val="both"/>
            </w:pPr>
            <w:r w:rsidRPr="00AC50E6">
              <w:t>Спрощена закупівля може бути відмінена частково (за лотом).</w:t>
            </w:r>
          </w:p>
          <w:p w:rsidR="0019631E" w:rsidRPr="00AC50E6" w:rsidRDefault="0019631E" w:rsidP="00D05EA8">
            <w:pPr>
              <w:jc w:val="both"/>
            </w:pPr>
            <w:r w:rsidRPr="00AC50E6">
              <w:t>6.1.3.Повідомлення про відміну закупівлі оприлюднюється в електронній системі закупівель.</w:t>
            </w:r>
          </w:p>
          <w:p w:rsidR="0019631E" w:rsidRPr="00AC50E6" w:rsidRDefault="0019631E" w:rsidP="00D05EA8">
            <w:pPr>
              <w:jc w:val="both"/>
            </w:pPr>
            <w:r w:rsidRPr="00AC50E6">
              <w:t>6.1.4. Повідомлення про відміну закупівлі автоматично надсилається всім учасникам електронною системою закупівель в день його оприлюднення.</w:t>
            </w:r>
          </w:p>
        </w:tc>
      </w:tr>
      <w:tr w:rsidR="0019631E" w:rsidRPr="00AC50E6" w:rsidTr="00D05EA8">
        <w:tc>
          <w:tcPr>
            <w:tcW w:w="709" w:type="dxa"/>
          </w:tcPr>
          <w:p w:rsidR="0019631E" w:rsidRPr="00AC50E6" w:rsidRDefault="0019631E" w:rsidP="00D05EA8">
            <w:r w:rsidRPr="00AC50E6">
              <w:t>6.2.</w:t>
            </w:r>
          </w:p>
        </w:tc>
        <w:tc>
          <w:tcPr>
            <w:tcW w:w="3686" w:type="dxa"/>
          </w:tcPr>
          <w:p w:rsidR="0019631E" w:rsidRPr="00AC50E6" w:rsidRDefault="0019631E" w:rsidP="00D05EA8">
            <w:r w:rsidRPr="00AC50E6">
              <w:t>Строк укладання договору</w:t>
            </w:r>
          </w:p>
          <w:p w:rsidR="0019631E" w:rsidRPr="00AC50E6" w:rsidRDefault="0019631E" w:rsidP="00D05EA8"/>
        </w:tc>
        <w:tc>
          <w:tcPr>
            <w:tcW w:w="5953" w:type="dxa"/>
          </w:tcPr>
          <w:p w:rsidR="0019631E" w:rsidRPr="00AC50E6" w:rsidRDefault="0019631E" w:rsidP="00D05EA8">
            <w:pPr>
              <w:jc w:val="both"/>
            </w:pPr>
            <w:r w:rsidRPr="00AC50E6">
              <w:t>6.2.1.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19631E" w:rsidRPr="00AC50E6" w:rsidTr="00D05EA8">
        <w:tc>
          <w:tcPr>
            <w:tcW w:w="709" w:type="dxa"/>
          </w:tcPr>
          <w:p w:rsidR="0019631E" w:rsidRPr="00AC50E6" w:rsidRDefault="0019631E" w:rsidP="00D05EA8">
            <w:r w:rsidRPr="00AC50E6">
              <w:t>6.3.</w:t>
            </w:r>
          </w:p>
        </w:tc>
        <w:tc>
          <w:tcPr>
            <w:tcW w:w="3686" w:type="dxa"/>
          </w:tcPr>
          <w:p w:rsidR="0019631E" w:rsidRPr="00AC50E6" w:rsidRDefault="0019631E" w:rsidP="00D05EA8">
            <w:r w:rsidRPr="00AC50E6">
              <w:t xml:space="preserve">Проект договору </w:t>
            </w:r>
          </w:p>
        </w:tc>
        <w:tc>
          <w:tcPr>
            <w:tcW w:w="5953" w:type="dxa"/>
          </w:tcPr>
          <w:p w:rsidR="0019631E" w:rsidRPr="00AC50E6" w:rsidRDefault="0019631E" w:rsidP="00D05EA8">
            <w:pPr>
              <w:jc w:val="both"/>
            </w:pPr>
            <w:r w:rsidRPr="00AC50E6">
              <w:t xml:space="preserve">Проект договору подається в окремому файлі та наведений у Додатку № 2 до цього Оголошення. Проект договору, з печаткою та підписом уповноваженої особи учасника,  надається у складі пропозиції учасника як невід’ємна її частина. Скан-копія проекту договору з підписами та печатками учасника на кожній сторінці проекту договору. </w:t>
            </w:r>
          </w:p>
        </w:tc>
      </w:tr>
      <w:tr w:rsidR="0019631E" w:rsidRPr="00586BF7" w:rsidTr="00D05EA8">
        <w:tc>
          <w:tcPr>
            <w:tcW w:w="709" w:type="dxa"/>
          </w:tcPr>
          <w:p w:rsidR="0019631E" w:rsidRPr="00AC50E6" w:rsidRDefault="0019631E" w:rsidP="00D05EA8">
            <w:r w:rsidRPr="00AC50E6">
              <w:t>6.4.</w:t>
            </w:r>
          </w:p>
        </w:tc>
        <w:tc>
          <w:tcPr>
            <w:tcW w:w="3686" w:type="dxa"/>
          </w:tcPr>
          <w:p w:rsidR="0019631E" w:rsidRPr="00AC50E6" w:rsidRDefault="0019631E" w:rsidP="00D05EA8">
            <w:r w:rsidRPr="00AC50E6">
              <w:t>Основні вимоги до договору про закупівлю та внесення змін до нього</w:t>
            </w:r>
          </w:p>
        </w:tc>
        <w:tc>
          <w:tcPr>
            <w:tcW w:w="5953" w:type="dxa"/>
          </w:tcPr>
          <w:p w:rsidR="0019631E" w:rsidRPr="00AC50E6" w:rsidRDefault="0019631E" w:rsidP="00D05EA8">
            <w:pPr>
              <w:jc w:val="both"/>
            </w:pPr>
            <w:r w:rsidRPr="00AC50E6">
              <w:t>6.4.1.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«Про публічні закупівлі».</w:t>
            </w:r>
          </w:p>
          <w:p w:rsidR="0019631E" w:rsidRPr="00AC50E6" w:rsidRDefault="0019631E" w:rsidP="00D05EA8">
            <w:pPr>
              <w:jc w:val="both"/>
            </w:pPr>
            <w:r w:rsidRPr="00AC50E6">
              <w:t xml:space="preserve">6.4.2. Учасник - переможець процедури закупівлі під час укладення договору повинен надати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rsidR="0019631E" w:rsidRPr="00AC50E6" w:rsidRDefault="0019631E" w:rsidP="00D05EA8">
            <w:pPr>
              <w:jc w:val="both"/>
            </w:pPr>
            <w:r w:rsidRPr="00AC50E6">
              <w:t>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p>
          <w:p w:rsidR="0019631E" w:rsidRPr="00AC50E6" w:rsidRDefault="0019631E" w:rsidP="00D05EA8">
            <w:pPr>
              <w:jc w:val="both"/>
            </w:pPr>
            <w:r w:rsidRPr="00AC50E6">
              <w:t xml:space="preserve">6.4.3. Умови договору про закупівлю не повинні відрізнятися від змісту пропозиції за результатами електронного аукціону (у тому </w:t>
            </w:r>
            <w:r w:rsidRPr="00AC50E6">
              <w:lastRenderedPageBreak/>
              <w:t>числі ціни за одиницю товару) переможця 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19631E" w:rsidRPr="00AC50E6" w:rsidRDefault="0019631E" w:rsidP="00D05EA8">
            <w:pPr>
              <w:jc w:val="both"/>
            </w:pPr>
            <w:r w:rsidRPr="00AC50E6">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ЗУ «Про Публічні закупівлі».</w:t>
            </w:r>
          </w:p>
          <w:p w:rsidR="0019631E" w:rsidRPr="00AC50E6" w:rsidRDefault="0019631E" w:rsidP="00D05EA8">
            <w:pPr>
              <w:jc w:val="both"/>
            </w:pPr>
            <w:r w:rsidRPr="00AC50E6">
              <w:t>Надати в складі пропозиції лист-згоду з істотними умовами договору.</w:t>
            </w:r>
          </w:p>
          <w:p w:rsidR="0019631E" w:rsidRPr="00AC50E6" w:rsidRDefault="0019631E" w:rsidP="00D05EA8">
            <w:pPr>
              <w:jc w:val="both"/>
            </w:pPr>
            <w:r w:rsidRPr="00AC50E6">
              <w:t>Договір про закупівлю є нікчемним у разі:</w:t>
            </w:r>
          </w:p>
          <w:p w:rsidR="0019631E" w:rsidRPr="00AC50E6" w:rsidRDefault="0019631E" w:rsidP="00D05EA8">
            <w:pPr>
              <w:jc w:val="both"/>
            </w:pPr>
            <w:r w:rsidRPr="00AC50E6">
              <w:t xml:space="preserve">1) якщо замовник уклав договір про закупівлю до/без проведення процедури закупівлі/спрощеної закупівлі згідно з вимогами цього Закону; </w:t>
            </w:r>
          </w:p>
          <w:p w:rsidR="0019631E" w:rsidRPr="00AC50E6" w:rsidRDefault="0019631E" w:rsidP="00D05EA8">
            <w:pPr>
              <w:jc w:val="both"/>
            </w:pPr>
            <w:r w:rsidRPr="00AC50E6">
              <w:t>2) укладення договору з порушенням вимог частини четвертої статті 41 цього Закону;</w:t>
            </w:r>
          </w:p>
          <w:p w:rsidR="0019631E" w:rsidRPr="00AC50E6" w:rsidRDefault="0019631E" w:rsidP="00D05EA8">
            <w:pPr>
              <w:jc w:val="both"/>
            </w:pPr>
            <w:r w:rsidRPr="00AC50E6">
              <w:t>3) укладення договору в період оскарження процедури закупівлі відповідно до статті 18 цього Закону;</w:t>
            </w:r>
          </w:p>
          <w:p w:rsidR="0019631E" w:rsidRPr="002637F7" w:rsidRDefault="0019631E" w:rsidP="00D05EA8">
            <w:pPr>
              <w:shd w:val="clear" w:color="auto" w:fill="FFFFFF"/>
              <w:jc w:val="both"/>
            </w:pPr>
            <w:r w:rsidRPr="002637F7">
              <w:t>4) укладення договору з порушенням строків, передбачених частинами п’ятою і шостою статті 33 та частиною сьомою статті 40 цього Закону, крім випадків зупинення перебігу строків у зв’язку з розглядом скарги органом оскарження відповідно до статті 18 цього Закону.</w:t>
            </w:r>
          </w:p>
        </w:tc>
      </w:tr>
      <w:tr w:rsidR="0019631E" w:rsidRPr="00AC50E6" w:rsidTr="00D05EA8">
        <w:tc>
          <w:tcPr>
            <w:tcW w:w="709" w:type="dxa"/>
          </w:tcPr>
          <w:p w:rsidR="0019631E" w:rsidRPr="00AC50E6" w:rsidRDefault="0019631E" w:rsidP="00D05EA8">
            <w:r w:rsidRPr="00AC50E6">
              <w:lastRenderedPageBreak/>
              <w:t>6.5.</w:t>
            </w:r>
          </w:p>
        </w:tc>
        <w:tc>
          <w:tcPr>
            <w:tcW w:w="3686" w:type="dxa"/>
          </w:tcPr>
          <w:p w:rsidR="0019631E" w:rsidRPr="00AC50E6" w:rsidRDefault="0019631E" w:rsidP="00D05EA8">
            <w:r w:rsidRPr="00AC50E6">
              <w:t>Забезпечення виконання договору</w:t>
            </w:r>
          </w:p>
        </w:tc>
        <w:tc>
          <w:tcPr>
            <w:tcW w:w="5953" w:type="dxa"/>
          </w:tcPr>
          <w:p w:rsidR="0019631E" w:rsidRPr="00AC50E6" w:rsidRDefault="0019631E" w:rsidP="00D05EA8">
            <w:pPr>
              <w:shd w:val="clear" w:color="auto" w:fill="FFFFFF"/>
              <w:jc w:val="both"/>
            </w:pPr>
            <w:r w:rsidRPr="00AC50E6">
              <w:t>Не вимагається замовником</w:t>
            </w:r>
          </w:p>
        </w:tc>
      </w:tr>
    </w:tbl>
    <w:p w:rsidR="0019631E" w:rsidRPr="00AC50E6" w:rsidRDefault="0019631E" w:rsidP="0019631E">
      <w:pPr>
        <w:jc w:val="center"/>
        <w:rPr>
          <w:rFonts w:ascii="Times New Roman" w:hAnsi="Times New Roman" w:cs="Times New Roman"/>
          <w:lang w:val="uk-UA"/>
        </w:rPr>
      </w:pPr>
    </w:p>
    <w:p w:rsidR="00B161A5" w:rsidRDefault="0019631E" w:rsidP="0019631E">
      <w:r w:rsidRPr="00AC50E6">
        <w:rPr>
          <w:rFonts w:ascii="Times New Roman" w:hAnsi="Times New Roman"/>
        </w:rPr>
        <w:br w:type="column"/>
      </w:r>
    </w:p>
    <w:sectPr w:rsidR="00B16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1A5" w:rsidRDefault="00B161A5" w:rsidP="0019631E">
      <w:pPr>
        <w:spacing w:after="0" w:line="240" w:lineRule="auto"/>
      </w:pPr>
      <w:r>
        <w:separator/>
      </w:r>
    </w:p>
  </w:endnote>
  <w:endnote w:type="continuationSeparator" w:id="1">
    <w:p w:rsidR="00B161A5" w:rsidRDefault="00B161A5" w:rsidP="001963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1A5" w:rsidRDefault="00B161A5" w:rsidP="0019631E">
      <w:pPr>
        <w:spacing w:after="0" w:line="240" w:lineRule="auto"/>
      </w:pPr>
      <w:r>
        <w:separator/>
      </w:r>
    </w:p>
  </w:footnote>
  <w:footnote w:type="continuationSeparator" w:id="1">
    <w:p w:rsidR="00B161A5" w:rsidRDefault="00B161A5" w:rsidP="001963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631E"/>
    <w:rsid w:val="0019631E"/>
    <w:rsid w:val="00B16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631E"/>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19631E"/>
    <w:pPr>
      <w:spacing w:after="0" w:line="240" w:lineRule="auto"/>
    </w:pPr>
    <w:rPr>
      <w:rFonts w:ascii="Courier New" w:eastAsia="Times New Roman" w:hAnsi="Courier New" w:cs="Times New Roman"/>
      <w:sz w:val="20"/>
      <w:szCs w:val="20"/>
      <w:lang w:val="uk-UA" w:eastAsia="ja-JP"/>
    </w:rPr>
  </w:style>
  <w:style w:type="character" w:customStyle="1" w:styleId="a5">
    <w:name w:val="Текст Знак"/>
    <w:basedOn w:val="a0"/>
    <w:link w:val="a4"/>
    <w:rsid w:val="0019631E"/>
    <w:rPr>
      <w:rFonts w:ascii="Courier New" w:eastAsia="Times New Roman" w:hAnsi="Courier New" w:cs="Times New Roman"/>
      <w:sz w:val="20"/>
      <w:szCs w:val="20"/>
      <w:lang w:val="uk-UA" w:eastAsia="ja-JP"/>
    </w:rPr>
  </w:style>
  <w:style w:type="paragraph" w:styleId="HTML">
    <w:name w:val="HTML Preformatted"/>
    <w:basedOn w:val="a"/>
    <w:link w:val="HTML0"/>
    <w:uiPriority w:val="99"/>
    <w:rsid w:val="001963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uiPriority w:val="99"/>
    <w:rsid w:val="0019631E"/>
    <w:rPr>
      <w:rFonts w:ascii="Courier New" w:eastAsia="Times New Roman" w:hAnsi="Courier New" w:cs="Times New Roman"/>
      <w:sz w:val="20"/>
      <w:szCs w:val="20"/>
      <w:lang w:val="uk-UA" w:eastAsia="ar-SA"/>
    </w:rPr>
  </w:style>
  <w:style w:type="paragraph" w:styleId="a6">
    <w:name w:val="header"/>
    <w:basedOn w:val="a"/>
    <w:link w:val="a7"/>
    <w:uiPriority w:val="99"/>
    <w:semiHidden/>
    <w:unhideWhenUsed/>
    <w:rsid w:val="001963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9631E"/>
  </w:style>
  <w:style w:type="paragraph" w:styleId="a8">
    <w:name w:val="footer"/>
    <w:basedOn w:val="a"/>
    <w:link w:val="a9"/>
    <w:uiPriority w:val="99"/>
    <w:semiHidden/>
    <w:unhideWhenUsed/>
    <w:rsid w:val="001963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963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3268</Words>
  <Characters>18633</Characters>
  <Application>Microsoft Office Word</Application>
  <DocSecurity>0</DocSecurity>
  <Lines>155</Lines>
  <Paragraphs>43</Paragraphs>
  <ScaleCrop>false</ScaleCrop>
  <Company/>
  <LinksUpToDate>false</LinksUpToDate>
  <CharactersWithSpaces>21858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2022-08-18T10:46:00Z</dcterms:created>
  <dcterms:modified xsi:type="dcterms:W3CDTF">2022-08-18T10:50:00Z</dcterms:modified>
</cp:coreProperties>
</file>