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2"/>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Документи та </w:t>
            </w:r>
            <w:r>
              <w:rPr>
                <w:rFonts w:ascii="Times New Roman" w:hAnsi="Times New Roman" w:eastAsia="Times New Roman" w:cs="Times New Roman"/>
                <w:b/>
                <w:color w:val="auto"/>
                <w:sz w:val="20"/>
                <w:szCs w:val="20"/>
                <w:highlight w:val="none"/>
                <w:rtl w:val="0"/>
              </w:rPr>
              <w:t>інформація,</w:t>
            </w:r>
            <w:r>
              <w:rPr>
                <w:rFonts w:ascii="Times New Roman" w:hAnsi="Times New Roman" w:eastAsia="Times New Roman" w:cs="Times New Roman"/>
                <w:b/>
                <w:color w:val="000000"/>
                <w:sz w:val="20"/>
                <w:szCs w:val="20"/>
                <w:rtl w:val="0"/>
              </w:rPr>
              <w:t> які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bCs/>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b/>
                <w:i/>
                <w:color w:val="000000"/>
                <w:sz w:val="20"/>
                <w:szCs w:val="20"/>
                <w:highlight w:val="none"/>
                <w:rtl w:val="0"/>
              </w:rPr>
              <w:t xml:space="preserve">Аналогічним вважається договір </w:t>
            </w:r>
            <w:r>
              <w:rPr>
                <w:rFonts w:ascii="Times New Roman" w:hAnsi="Times New Roman" w:eastAsia="Times New Roman" w:cs="Times New Roman"/>
                <w:b/>
                <w:i/>
                <w:color w:val="000000"/>
                <w:sz w:val="20"/>
                <w:szCs w:val="20"/>
                <w:highlight w:val="none"/>
                <w:rtl w:val="0"/>
                <w:lang w:val="uk-UA"/>
              </w:rPr>
              <w:t>поставки</w:t>
            </w:r>
            <w:r>
              <w:rPr>
                <w:rFonts w:hint="default" w:ascii="Times New Roman" w:hAnsi="Times New Roman" w:eastAsia="Times New Roman" w:cs="Times New Roman"/>
                <w:b/>
                <w:i/>
                <w:color w:val="000000"/>
                <w:sz w:val="20"/>
                <w:szCs w:val="20"/>
                <w:highlight w:val="none"/>
                <w:rtl w:val="0"/>
                <w:lang w:val="uk-UA"/>
              </w:rPr>
              <w:t xml:space="preserve"> промислових секційних воріт</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ascii="Times New Roman" w:hAnsi="Times New Roman" w:eastAsia="Times New Roman" w:cs="Times New Roman"/>
                <w:color w:val="auto"/>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.1.3. </w:t>
            </w:r>
            <w:r>
              <w:rPr>
                <w:rFonts w:ascii="Times New Roman" w:hAnsi="Times New Roman" w:eastAsia="Times New Roman" w:cs="Times New Roman"/>
                <w:color w:val="auto"/>
                <w:sz w:val="20"/>
                <w:szCs w:val="20"/>
                <w:highlight w:val="none"/>
                <w:rtl w:val="0"/>
              </w:rPr>
              <w:t>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(видаткова накладна/акт приймання-передачі товару тощо)</w:t>
            </w:r>
            <w:r>
              <w:rPr>
                <w:rFonts w:ascii="Times New Roman" w:hAnsi="Times New Roman" w:eastAsia="Times New Roman" w:cs="Times New Roman"/>
                <w:color w:val="auto"/>
                <w:sz w:val="20"/>
                <w:szCs w:val="20"/>
                <w:highlight w:val="none"/>
                <w:rtl w:val="0"/>
              </w:rPr>
              <w:t>. </w:t>
            </w:r>
          </w:p>
          <w:p>
            <w:pPr>
              <w:spacing w:after="0" w:line="240" w:lineRule="auto"/>
              <w:jc w:val="both"/>
              <w:rPr>
                <w:rFonts w:ascii="Times New Roman" w:hAnsi="Times New Roman" w:eastAsia="Times New Roman" w:cs="Times New Roman"/>
                <w:color w:val="4A86E8"/>
                <w:sz w:val="20"/>
                <w:szCs w:val="20"/>
                <w:highlight w:val="none"/>
              </w:rPr>
            </w:pPr>
            <w:r>
              <w:rPr>
                <w:rFonts w:hint="default" w:ascii="Times New Roman" w:hAnsi="Times New Roman" w:eastAsia="Times New Roman" w:cs="Times New Roman"/>
                <w:color w:val="auto"/>
                <w:sz w:val="20"/>
                <w:szCs w:val="20"/>
                <w:highlight w:val="none"/>
                <w:rtl w:val="0"/>
                <w:lang w:val="uk-UA"/>
              </w:rPr>
              <w:t xml:space="preserve">1.1.4. </w:t>
            </w:r>
            <w:r>
              <w:rPr>
                <w:rFonts w:ascii="Times New Roman" w:hAnsi="Times New Roman" w:eastAsia="Times New Roman" w:cs="Times New Roman"/>
                <w:color w:val="auto"/>
                <w:sz w:val="20"/>
                <w:szCs w:val="20"/>
                <w:highlight w:val="none"/>
                <w:rtl w:val="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auto"/>
                <w:sz w:val="20"/>
                <w:szCs w:val="20"/>
                <w:highlight w:val="none"/>
                <w:rtl w:val="0"/>
              </w:rPr>
              <w:t>Аналогічний договір 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xml:space="preserve">, тощо до аналогічного договору, які зазначені в ньому як невід’ємні частини  договору. </w:t>
            </w:r>
          </w:p>
        </w:tc>
      </w:tr>
      <w:tr>
        <w:tblPrEx>
          <w:tblCellMar>
            <w:top w:w="15" w:type="dxa"/>
            <w:left w:w="15" w:type="dxa"/>
            <w:bottom w:w="15" w:type="dxa"/>
            <w:right w:w="15" w:type="dxa"/>
          </w:tblCellMar>
        </w:tblPrEx>
        <w:trPr>
          <w:trHeight w:val="81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b/>
                <w:bCs/>
                <w:sz w:val="20"/>
                <w:szCs w:val="20"/>
                <w:lang w:val="uk-UA"/>
              </w:rPr>
            </w:pPr>
            <w:r>
              <w:rPr>
                <w:rFonts w:hint="default" w:ascii="Times New Roman" w:hAnsi="Times New Roman" w:eastAsia="Times New Roman" w:cs="Times New Roman"/>
                <w:b/>
                <w:bCs/>
                <w:sz w:val="20"/>
                <w:szCs w:val="20"/>
                <w:lang w:val="uk-UA"/>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фінансової спроможності**</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w:t>
            </w:r>
            <w:r>
              <w:rPr>
                <w:rFonts w:ascii="Times New Roman" w:hAnsi="Times New Roman" w:eastAsia="Times New Roman" w:cs="Times New Roman"/>
                <w:i/>
                <w:sz w:val="20"/>
                <w:szCs w:val="20"/>
                <w:rtl w:val="0"/>
              </w:rPr>
              <w:t>*</w:t>
            </w:r>
            <w:r>
              <w:rPr>
                <w:rFonts w:ascii="Times New Roman" w:hAnsi="Times New Roman" w:eastAsia="Times New Roman" w:cs="Times New Roman"/>
                <w:i/>
                <w:color w:val="000000"/>
                <w:sz w:val="20"/>
                <w:szCs w:val="20"/>
                <w:rtl w:val="0"/>
              </w:rPr>
              <w:t>Замовник не  вимагає надання підтвердження обсягу річного доходу (виручки) у розмірі більшому, ніж очікувана вартість предмета закупівлі</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w:t>
            </w:r>
            <w:r>
              <w:rPr>
                <w:rFonts w:hint="default" w:ascii="Times New Roman" w:hAnsi="Times New Roman" w:eastAsia="SimSun" w:cs="Times New Roman"/>
                <w:i w:val="0"/>
                <w:iCs w:val="0"/>
                <w:caps w:val="0"/>
                <w:color w:val="000000"/>
                <w:spacing w:val="0"/>
                <w:sz w:val="20"/>
                <w:szCs w:val="20"/>
                <w:highlight w:val="none"/>
                <w:lang w:val="uk-UA"/>
              </w:rPr>
              <w:t>3</w:t>
            </w:r>
            <w:r>
              <w:rPr>
                <w:rFonts w:hint="default" w:ascii="Times New Roman" w:hAnsi="Times New Roman" w:eastAsia="SimSun" w:cs="Times New Roman"/>
                <w:i w:val="0"/>
                <w:iCs w:val="0"/>
                <w:caps w:val="0"/>
                <w:color w:val="000000"/>
                <w:spacing w:val="0"/>
                <w:sz w:val="20"/>
                <w:szCs w:val="20"/>
                <w:highlight w:val="none"/>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lang w:val="uk-UA"/>
              </w:rPr>
            </w:pPr>
            <w:r>
              <w:rPr>
                <w:rStyle w:val="10"/>
                <w:rFonts w:hint="default" w:ascii="Times New Roman" w:hAnsi="Times New Roman" w:eastAsia="sans-serif" w:cs="Times New Roman"/>
                <w:i w:val="0"/>
                <w:iCs w:val="0"/>
                <w:caps w:val="0"/>
                <w:color w:val="auto"/>
                <w:spacing w:val="0"/>
                <w:sz w:val="20"/>
                <w:szCs w:val="20"/>
                <w:highlight w:val="none"/>
              </w:rPr>
              <w:t>Учасник має підтвердити, що фінансова звітність</w:t>
            </w:r>
            <w:r>
              <w:rPr>
                <w:rStyle w:val="10"/>
                <w:rFonts w:hint="default" w:ascii="Times New Roman" w:hAnsi="Times New Roman" w:eastAsia="sans-serif"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000000"/>
                <w:spacing w:val="0"/>
                <w:sz w:val="20"/>
                <w:szCs w:val="20"/>
                <w:highlight w:val="none"/>
              </w:rPr>
              <w:t>скорочен</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фінансов</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звітність</w:t>
            </w:r>
            <w:r>
              <w:rPr>
                <w:rStyle w:val="10"/>
                <w:rFonts w:hint="default" w:ascii="Times New Roman" w:hAnsi="Times New Roman" w:eastAsia="sans-serif" w:cs="Times New Roman"/>
                <w:i w:val="0"/>
                <w:iCs w:val="0"/>
                <w:caps w:val="0"/>
                <w:color w:val="auto"/>
                <w:spacing w:val="0"/>
                <w:sz w:val="20"/>
                <w:szCs w:val="20"/>
                <w:highlight w:val="none"/>
              </w:rPr>
              <w:t xml:space="preserve">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r>
              <w:rPr>
                <w:rStyle w:val="10"/>
                <w:rFonts w:hint="default" w:ascii="Times New Roman" w:hAnsi="Times New Roman" w:eastAsia="sans-serif"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000000"/>
                <w:spacing w:val="0"/>
                <w:sz w:val="20"/>
                <w:szCs w:val="20"/>
                <w:highlight w:val="none"/>
                <w:lang w:val="uk-UA"/>
              </w:rPr>
              <w:t xml:space="preserve"> </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lang w:val="uk-UA"/>
              </w:rPr>
              <w:t>Для підтвердження фінансової спроможності річний дохід (виручка) за попередній рік повинен становити не менше 90% вартості предмета закупівлі.</w:t>
            </w:r>
            <w:r>
              <w:rPr>
                <w:rFonts w:hint="default" w:ascii="Times New Roman" w:hAnsi="Times New Roman" w:eastAsia="SimSun" w:cs="Times New Roman"/>
                <w:i w:val="0"/>
                <w:iCs w:val="0"/>
                <w:caps w:val="0"/>
                <w:color w:val="000000"/>
                <w:spacing w:val="0"/>
                <w:sz w:val="20"/>
                <w:szCs w:val="20"/>
                <w:highlight w:val="none"/>
              </w:rPr>
              <w:t xml:space="preserve"> </w:t>
            </w:r>
          </w:p>
          <w:p>
            <w:pPr>
              <w:spacing w:after="0" w:line="240" w:lineRule="auto"/>
              <w:rPr>
                <w:rFonts w:ascii="Times New Roman" w:hAnsi="Times New Roman" w:eastAsia="Times New Roman" w:cs="Times New Roman"/>
                <w:sz w:val="20"/>
                <w:szCs w:val="20"/>
                <w:highlight w:val="none"/>
              </w:rPr>
            </w:pPr>
            <w:r>
              <w:rPr>
                <w:rFonts w:hint="default" w:ascii="Times New Roman" w:hAnsi="Times New Roman" w:eastAsia="SimSun" w:cs="Times New Roman"/>
                <w:i w:val="0"/>
                <w:iCs w:val="0"/>
                <w:caps w:val="0"/>
                <w:color w:val="000000"/>
                <w:spacing w:val="0"/>
                <w:sz w:val="20"/>
                <w:szCs w:val="20"/>
                <w:highlight w:val="none"/>
              </w:rPr>
              <w:t>Для підтвердження можливості виконати роботи за договором без отримання авансового платежу учасник у складі пропозиції надає гарантійний лист.</w:t>
            </w:r>
            <w:bookmarkStart w:id="1" w:name="_GoBack"/>
            <w:bookmarkEnd w:id="1"/>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highlight w:val="none"/>
          <w:rtl w:val="0"/>
        </w:rPr>
        <w:t xml:space="preserve">Учасник  повинен надати </w:t>
      </w:r>
      <w:r>
        <w:rPr>
          <w:rFonts w:ascii="Times New Roman" w:hAnsi="Times New Roman" w:eastAsia="Times New Roman" w:cs="Times New Roman"/>
          <w:b/>
          <w:sz w:val="20"/>
          <w:szCs w:val="20"/>
          <w:highlight w:val="none"/>
          <w:rtl w:val="0"/>
        </w:rPr>
        <w:t>довідку у довільній формі</w:t>
      </w:r>
      <w:r>
        <w:rPr>
          <w:rFonts w:ascii="Times New Roman" w:hAnsi="Times New Roman" w:eastAsia="Times New Roman" w:cs="Times New Roman"/>
          <w:sz w:val="20"/>
          <w:szCs w:val="20"/>
          <w:highlight w:val="none"/>
          <w:rtl w:val="0"/>
        </w:rPr>
        <w:t xml:space="preserve"> щодо відсутності підстави для  відмови учаснику </w:t>
      </w:r>
      <w:r>
        <w:rPr>
          <w:rFonts w:ascii="Times New Roman" w:hAnsi="Times New Roman" w:eastAsia="Times New Roman" w:cs="Times New Roman"/>
          <w:sz w:val="20"/>
          <w:szCs w:val="20"/>
          <w:rtl w:val="0"/>
        </w:rPr>
        <w:t xml:space="preserve">процедури закупівлі в участі у відкритих торгах, встановленої в абзаці 14 пункту </w:t>
      </w:r>
      <w:r>
        <w:rPr>
          <w:rFonts w:ascii="Times New Roman" w:hAnsi="Times New Roman" w:eastAsia="Times New Roman" w:cs="Times New Roman"/>
          <w:sz w:val="20"/>
          <w:szCs w:val="20"/>
          <w:highlight w:val="white"/>
          <w:rtl w:val="0"/>
        </w:rPr>
        <w:t xml:space="preserve">47 </w:t>
      </w:r>
      <w:r>
        <w:rPr>
          <w:rFonts w:ascii="Times New Roman" w:hAnsi="Times New Roman" w:eastAsia="Times New Roman" w:cs="Times New Roman"/>
          <w:sz w:val="20"/>
          <w:szCs w:val="20"/>
          <w:rtl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spacing w:after="80"/>
        <w:jc w:val="both"/>
        <w:rPr>
          <w:rFonts w:ascii="Times New Roman" w:hAnsi="Times New Roman" w:eastAsia="Times New Roman" w:cs="Times New Roman"/>
          <w:color w:val="auto"/>
          <w:sz w:val="20"/>
          <w:szCs w:val="20"/>
          <w:highlight w:val="yellow"/>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iCs/>
          <w:sz w:val="20"/>
          <w:szCs w:val="20"/>
          <w:highlight w:val="none"/>
        </w:rPr>
      </w:pPr>
      <w:r>
        <w:rPr>
          <w:rFonts w:ascii="Times New Roman" w:hAnsi="Times New Roman" w:eastAsia="Times New Roman" w:cs="Times New Roman"/>
          <w:i/>
          <w:iCs/>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4"/>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5"/>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6"/>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left"/>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color w:val="000000"/>
                <w:sz w:val="20"/>
                <w:szCs w:val="20"/>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hint="default" w:ascii="Times New Roman" w:hAnsi="Times New Roman" w:eastAsia="Times New Roman" w:cs="Times New Roman"/>
                <w:b/>
                <w:color w:val="000000"/>
                <w:sz w:val="20"/>
                <w:szCs w:val="20"/>
                <w:rtl w:val="0"/>
                <w:lang w:val="uk-UA"/>
              </w:rPr>
            </w:pPr>
            <w:r>
              <w:rPr>
                <w:rFonts w:hint="default" w:ascii="Times New Roman" w:hAnsi="Times New Roman" w:eastAsia="Times New Roman" w:cs="Times New Roman"/>
                <w:b/>
                <w:color w:val="000000"/>
                <w:sz w:val="20"/>
                <w:szCs w:val="20"/>
                <w:rtl w:val="0"/>
                <w:lang w:val="uk-UA"/>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b/>
                <w:color w:val="000000"/>
                <w:sz w:val="20"/>
                <w:szCs w:val="20"/>
                <w:rtl w:val="0"/>
              </w:rPr>
              <w:t xml:space="preserve">Достовірна інформація у вигляді довідки довільної форми, </w:t>
            </w:r>
            <w:r>
              <w:rPr>
                <w:rFonts w:ascii="Times New Roman" w:hAnsi="Times New Roman" w:eastAsia="Times New Roman" w:cs="Times New Roman"/>
                <w:sz w:val="20"/>
                <w:szCs w:val="20"/>
                <w:rtl w:val="0"/>
              </w:rPr>
              <w:t>у</w:t>
            </w:r>
            <w:r>
              <w:rPr>
                <w:rFonts w:ascii="Times New Roman" w:hAnsi="Times New Roman" w:eastAsia="Times New Roman" w:cs="Times New Roman"/>
                <w:color w:val="000000"/>
                <w:sz w:val="20"/>
                <w:szCs w:val="20"/>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ind w:left="100" w:right="120" w:hanging="20"/>
              <w:jc w:val="both"/>
              <w:rPr>
                <w:rFonts w:ascii="Times New Roman" w:hAnsi="Times New Roman" w:eastAsia="Times New Roman" w:cs="Times New Roman"/>
                <w:i w:val="0"/>
                <w:iCs w:val="0"/>
                <w:color w:val="000000"/>
                <w:sz w:val="20"/>
                <w:szCs w:val="20"/>
              </w:rPr>
            </w:pPr>
            <w:r>
              <w:rPr>
                <w:rFonts w:ascii="Times New Roman" w:hAnsi="Times New Roman" w:eastAsia="Times New Roman" w:cs="Times New Roman"/>
                <w:i w:val="0"/>
                <w:iCs w:val="0"/>
                <w:color w:val="000000"/>
                <w:sz w:val="20"/>
                <w:szCs w:val="20"/>
                <w:rtl w:val="0"/>
                <w:lang w:val="uk-UA"/>
              </w:rPr>
              <w:t>До</w:t>
            </w:r>
            <w:r>
              <w:rPr>
                <w:rFonts w:hint="default" w:ascii="Times New Roman" w:hAnsi="Times New Roman" w:eastAsia="Times New Roman" w:cs="Times New Roman"/>
                <w:i w:val="0"/>
                <w:iCs w:val="0"/>
                <w:color w:val="000000"/>
                <w:sz w:val="20"/>
                <w:szCs w:val="20"/>
                <w:rtl w:val="0"/>
                <w:lang w:val="uk-UA"/>
              </w:rPr>
              <w:t xml:space="preserve"> довідки</w:t>
            </w:r>
            <w:r>
              <w:rPr>
                <w:rFonts w:ascii="Times New Roman" w:hAnsi="Times New Roman" w:eastAsia="Times New Roman" w:cs="Times New Roman"/>
                <w:i w:val="0"/>
                <w:iCs w:val="0"/>
                <w:color w:val="000000"/>
                <w:sz w:val="20"/>
                <w:szCs w:val="20"/>
                <w:rtl w:val="0"/>
              </w:rPr>
              <w:t xml:space="preserve"> учасник нада</w:t>
            </w:r>
            <w:r>
              <w:rPr>
                <w:rFonts w:ascii="Times New Roman" w:hAnsi="Times New Roman" w:eastAsia="Times New Roman" w:cs="Times New Roman"/>
                <w:i w:val="0"/>
                <w:iCs w:val="0"/>
                <w:color w:val="000000"/>
                <w:sz w:val="20"/>
                <w:szCs w:val="20"/>
                <w:rtl w:val="0"/>
                <w:lang w:val="uk-UA"/>
              </w:rPr>
              <w:t>є</w:t>
            </w:r>
            <w:r>
              <w:rPr>
                <w:rFonts w:ascii="Times New Roman" w:hAnsi="Times New Roman" w:eastAsia="Times New Roman" w:cs="Times New Roman"/>
                <w:i w:val="0"/>
                <w:iCs w:val="0"/>
                <w:color w:val="000000"/>
                <w:sz w:val="20"/>
                <w:szCs w:val="20"/>
                <w:rtl w:val="0"/>
              </w:rPr>
              <w:t xml:space="preserve"> чинну ліцензію або документ дозвільного характеру. </w:t>
            </w:r>
          </w:p>
          <w:p>
            <w:pPr>
              <w:spacing w:after="0" w:line="240" w:lineRule="auto"/>
              <w:ind w:left="100" w:firstLine="0"/>
              <w:jc w:val="left"/>
              <w:rPr>
                <w:rFonts w:ascii="Times New Roman" w:hAnsi="Times New Roman" w:eastAsia="Times New Roman" w:cs="Times New Roman"/>
                <w:color w:val="000000"/>
                <w:sz w:val="20"/>
                <w:szCs w:val="20"/>
                <w:rtl w:val="0"/>
              </w:rPr>
            </w:pPr>
            <w:r>
              <w:rPr>
                <w:rFonts w:ascii="Times New Roman" w:hAnsi="Times New Roman" w:eastAsia="Times New Roman" w:cs="Times New Roman"/>
                <w:i/>
                <w:color w:val="000000"/>
                <w:sz w:val="20"/>
                <w:szCs w:val="20"/>
                <w:rtl w:val="0"/>
              </w:rPr>
              <w:t>(Надається лише у разі, якщо отримання дозволу або ліцензії на провадження такого виду господарської  діяльності передбачено законом</w:t>
            </w:r>
            <w:r>
              <w:rPr>
                <w:rFonts w:hint="default" w:ascii="Times New Roman" w:hAnsi="Times New Roman" w:eastAsia="Times New Roman" w:cs="Times New Roman"/>
                <w:i/>
                <w:color w:val="000000"/>
                <w:sz w:val="20"/>
                <w:szCs w:val="20"/>
                <w:rtl w:val="0"/>
                <w:lang w:val="uk-UA"/>
              </w:rPr>
              <w:t>, у іншому випадку надати лист-пояснення з посиланням на законодавчі підстави такого ненадання</w:t>
            </w:r>
            <w:r>
              <w:rPr>
                <w:rFonts w:ascii="Times New Roman" w:hAnsi="Times New Roman" w:eastAsia="Times New Roman" w:cs="Times New Roman"/>
                <w:i/>
                <w:color w:val="000000"/>
                <w:sz w:val="20"/>
                <w:szCs w:val="20"/>
                <w:rtl w:val="0"/>
              </w:rPr>
              <w:t>).</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hint="default" w:ascii="Times New Roman" w:hAnsi="Times New Roman" w:eastAsia="Times New Roman" w:cs="Times New Roman"/>
                <w:b/>
                <w:color w:val="000000"/>
                <w:sz w:val="20"/>
                <w:szCs w:val="20"/>
                <w:rtl w:val="0"/>
                <w:lang w:val="uk-UA"/>
              </w:rPr>
            </w:pPr>
            <w:r>
              <w:rPr>
                <w:rFonts w:hint="default" w:ascii="Times New Roman" w:hAnsi="Times New Roman" w:eastAsia="Times New Roman" w:cs="Times New Roman"/>
                <w:b/>
                <w:color w:val="000000"/>
                <w:sz w:val="20"/>
                <w:szCs w:val="20"/>
                <w:rtl w:val="0"/>
                <w:lang w:val="uk-UA"/>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hint="default" w:ascii="Times New Roman" w:hAnsi="Times New Roman" w:eastAsia="Times New Roman" w:cs="Times New Roman"/>
                <w:i w:val="0"/>
                <w:iCs/>
                <w:color w:val="000000"/>
                <w:sz w:val="20"/>
                <w:szCs w:val="20"/>
                <w:rtl w:val="0"/>
                <w:lang w:val="uk-UA"/>
              </w:rPr>
            </w:pPr>
            <w:r>
              <w:rPr>
                <w:rFonts w:ascii="Times New Roman" w:hAnsi="Times New Roman" w:eastAsia="Times New Roman" w:cs="Times New Roman"/>
                <w:b/>
                <w:bCs/>
                <w:i w:val="0"/>
                <w:iCs/>
                <w:color w:val="000000"/>
                <w:sz w:val="20"/>
                <w:szCs w:val="20"/>
                <w:rtl w:val="0"/>
                <w:lang w:val="uk-UA"/>
              </w:rPr>
              <w:t>Інформація</w:t>
            </w:r>
            <w:r>
              <w:rPr>
                <w:rFonts w:hint="default" w:ascii="Times New Roman" w:hAnsi="Times New Roman" w:eastAsia="Times New Roman" w:cs="Times New Roman"/>
                <w:b/>
                <w:bCs/>
                <w:i w:val="0"/>
                <w:iCs/>
                <w:color w:val="000000"/>
                <w:sz w:val="20"/>
                <w:szCs w:val="20"/>
                <w:rtl w:val="0"/>
                <w:lang w:val="uk-UA"/>
              </w:rPr>
              <w:t xml:space="preserve"> у вигляді довідки довільної форми</w:t>
            </w:r>
            <w:r>
              <w:rPr>
                <w:rFonts w:hint="default" w:ascii="Times New Roman" w:hAnsi="Times New Roman" w:eastAsia="Times New Roman" w:cs="Times New Roman"/>
                <w:i w:val="0"/>
                <w:iCs/>
                <w:color w:val="000000"/>
                <w:sz w:val="20"/>
                <w:szCs w:val="20"/>
                <w:rtl w:val="0"/>
                <w:lang w:val="uk-UA"/>
              </w:rPr>
              <w:t xml:space="preserve"> про систему оподаткування, яку застосовує учасник при здійснення своєї діяльності.</w:t>
            </w:r>
          </w:p>
          <w:p>
            <w:pPr>
              <w:spacing w:after="0" w:line="240" w:lineRule="auto"/>
              <w:ind w:left="100" w:firstLine="0"/>
              <w:jc w:val="left"/>
              <w:rPr>
                <w:rFonts w:ascii="Times New Roman" w:hAnsi="Times New Roman" w:eastAsia="Times New Roman" w:cs="Times New Roman"/>
                <w:i/>
                <w:color w:val="000000"/>
                <w:sz w:val="20"/>
                <w:szCs w:val="20"/>
                <w:rtl w:val="0"/>
              </w:rPr>
            </w:pPr>
            <w:r>
              <w:rPr>
                <w:rFonts w:hint="default" w:ascii="Times New Roman" w:hAnsi="Times New Roman" w:eastAsia="Times New Roman" w:cs="Times New Roman"/>
                <w:i w:val="0"/>
                <w:iCs/>
                <w:color w:val="000000"/>
                <w:sz w:val="20"/>
                <w:szCs w:val="20"/>
                <w:rtl w:val="0"/>
                <w:lang w:val="uk-UA"/>
              </w:rPr>
              <w:t>До довідки учасник надає свідоцтво/витяг платника ПДВ чи платника єдиного податку або інший документ, що підтверджує інформацію, зазначену у довідці.</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color w:val="auto"/>
                <w:sz w:val="20"/>
                <w:szCs w:val="20"/>
                <w:highlight w:val="white"/>
                <w:rtl w:val="0"/>
              </w:rPr>
              <w:t>Ісламської Республіки Іран</w:t>
            </w:r>
            <w:r>
              <w:rPr>
                <w:rFonts w:ascii="Times New Roman" w:hAnsi="Times New Roman" w:eastAsia="Times New Roman" w:cs="Times New Roman"/>
                <w:color w:val="auto"/>
                <w:sz w:val="24"/>
                <w:szCs w:val="24"/>
                <w:highlight w:val="white"/>
                <w:rtl w:val="0"/>
              </w:rPr>
              <w:t xml:space="preserve"> </w:t>
            </w:r>
            <w:r>
              <w:rPr>
                <w:rFonts w:ascii="Times New Roman" w:hAnsi="Times New Roman" w:eastAsia="Times New Roman" w:cs="Times New Roman"/>
                <w:color w:val="auto"/>
                <w:sz w:val="20"/>
                <w:szCs w:val="20"/>
                <w:rtl w:val="0"/>
              </w:rPr>
              <w:t>та прож</w:t>
            </w:r>
            <w:r>
              <w:rPr>
                <w:rFonts w:ascii="Times New Roman" w:hAnsi="Times New Roman" w:eastAsia="Times New Roman" w:cs="Times New Roman"/>
                <w:sz w:val="20"/>
                <w:szCs w:val="20"/>
                <w:rtl w:val="0"/>
              </w:rPr>
              <w:t>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33D51DB"/>
    <w:rsid w:val="1CE84771"/>
    <w:rsid w:val="6E151241"/>
    <w:rsid w:val="6F2523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semiHidden/>
    <w:unhideWhenUsed/>
    <w:qFormat/>
    <w:uiPriority w:val="99"/>
    <w:rPr>
      <w:color w:val="0000FF"/>
      <w:u w:val="single"/>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CellMar>
        <w:top w:w="0" w:type="dxa"/>
        <w:left w:w="0" w:type="dxa"/>
        <w:bottom w:w="0" w:type="dxa"/>
        <w:right w:w="0" w:type="dxa"/>
      </w:tblCellMar>
    </w:tblPr>
  </w:style>
  <w:style w:type="character" w:customStyle="1" w:styleId="16">
    <w:name w:val="apple-tab-span"/>
    <w:basedOn w:val="8"/>
    <w:qFormat/>
    <w:uiPriority w:val="0"/>
  </w:style>
  <w:style w:type="paragraph" w:styleId="17">
    <w:name w:val="List Paragraph"/>
    <w:basedOn w:val="1"/>
    <w:qFormat/>
    <w:uiPriority w:val="34"/>
    <w:pPr>
      <w:ind w:left="720"/>
      <w:contextualSpacing/>
    </w:pPr>
  </w:style>
  <w:style w:type="table" w:customStyle="1" w:styleId="18">
    <w:name w:val="_Style 26"/>
    <w:basedOn w:val="15"/>
    <w:qFormat/>
    <w:uiPriority w:val="0"/>
    <w:tblPr>
      <w:tblCellMar>
        <w:top w:w="15" w:type="dxa"/>
        <w:left w:w="15" w:type="dxa"/>
        <w:bottom w:w="15" w:type="dxa"/>
        <w:right w:w="15" w:type="dxa"/>
      </w:tblCellMar>
    </w:tblPr>
  </w:style>
  <w:style w:type="table" w:customStyle="1" w:styleId="19">
    <w:name w:val="_Style 27"/>
    <w:basedOn w:val="15"/>
    <w:qFormat/>
    <w:uiPriority w:val="0"/>
    <w:tblPr>
      <w:tblCellMar>
        <w:top w:w="15" w:type="dxa"/>
        <w:left w:w="15" w:type="dxa"/>
        <w:bottom w:w="15" w:type="dxa"/>
        <w:right w:w="15" w:type="dxa"/>
      </w:tblCellMar>
    </w:tblPr>
  </w:style>
  <w:style w:type="table" w:customStyle="1" w:styleId="20">
    <w:name w:val="_Style 28"/>
    <w:basedOn w:val="15"/>
    <w:qFormat/>
    <w:uiPriority w:val="0"/>
    <w:tblPr>
      <w:tblCellMar>
        <w:top w:w="15" w:type="dxa"/>
        <w:left w:w="15" w:type="dxa"/>
        <w:bottom w:w="15" w:type="dxa"/>
        <w:right w:w="15" w:type="dxa"/>
      </w:tblCellMar>
    </w:tblPr>
  </w:style>
  <w:style w:type="table" w:customStyle="1" w:styleId="21">
    <w:name w:val="_Style 29"/>
    <w:basedOn w:val="15"/>
    <w:qFormat/>
    <w:uiPriority w:val="0"/>
    <w:tblPr>
      <w:tblCellMar>
        <w:top w:w="15" w:type="dxa"/>
        <w:left w:w="15" w:type="dxa"/>
        <w:bottom w:w="15" w:type="dxa"/>
        <w:right w:w="15" w:type="dxa"/>
      </w:tblCellMar>
    </w:tblPr>
  </w:style>
  <w:style w:type="table" w:customStyle="1" w:styleId="22">
    <w:name w:val="_Style 30"/>
    <w:basedOn w:val="15"/>
    <w:qFormat/>
    <w:uiPriority w:val="0"/>
    <w:tblPr>
      <w:tblCellMar>
        <w:top w:w="15" w:type="dxa"/>
        <w:left w:w="15" w:type="dxa"/>
        <w:bottom w:w="15" w:type="dxa"/>
        <w:right w:w="15" w:type="dxa"/>
      </w:tblCellMar>
    </w:tblPr>
  </w:style>
  <w:style w:type="table" w:customStyle="1" w:styleId="23">
    <w:name w:val="_Style 31"/>
    <w:basedOn w:val="15"/>
    <w:qFormat/>
    <w:uiPriority w:val="0"/>
    <w:tblPr>
      <w:tblCellMar>
        <w:top w:w="15" w:type="dxa"/>
        <w:left w:w="15" w:type="dxa"/>
        <w:bottom w:w="15" w:type="dxa"/>
        <w:right w:w="15" w:type="dxa"/>
      </w:tblCellMar>
    </w:tblPr>
  </w:style>
  <w:style w:type="table" w:customStyle="1" w:styleId="24">
    <w:name w:val="_Style 32"/>
    <w:basedOn w:val="15"/>
    <w:qFormat/>
    <w:uiPriority w:val="0"/>
    <w:tblPr>
      <w:tblCellMar>
        <w:top w:w="15" w:type="dxa"/>
        <w:left w:w="15" w:type="dxa"/>
        <w:bottom w:w="15" w:type="dxa"/>
        <w:right w:w="15" w:type="dxa"/>
      </w:tblCellMar>
    </w:tblPr>
  </w:style>
  <w:style w:type="paragraph" w:customStyle="1" w:styleId="25">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5"/>
    <w:basedOn w:val="15"/>
    <w:qFormat/>
    <w:uiPriority w:val="0"/>
    <w:tblPr>
      <w:tblCellMar>
        <w:top w:w="15" w:type="dxa"/>
        <w:left w:w="15" w:type="dxa"/>
        <w:bottom w:w="15" w:type="dxa"/>
        <w:right w:w="15" w:type="dxa"/>
      </w:tblCellMar>
    </w:tblPr>
  </w:style>
  <w:style w:type="table" w:customStyle="1" w:styleId="28">
    <w:name w:val="_Style 36"/>
    <w:basedOn w:val="15"/>
    <w:qFormat/>
    <w:uiPriority w:val="0"/>
    <w:tblPr>
      <w:tblCellMar>
        <w:top w:w="15" w:type="dxa"/>
        <w:left w:w="15" w:type="dxa"/>
        <w:bottom w:w="15" w:type="dxa"/>
        <w:right w:w="15" w:type="dxa"/>
      </w:tblCellMar>
    </w:tblPr>
  </w:style>
  <w:style w:type="table" w:customStyle="1" w:styleId="29">
    <w:name w:val="_Style 37"/>
    <w:basedOn w:val="15"/>
    <w:qFormat/>
    <w:uiPriority w:val="0"/>
    <w:tblPr>
      <w:tblCellMar>
        <w:top w:w="15" w:type="dxa"/>
        <w:left w:w="15" w:type="dxa"/>
        <w:bottom w:w="15" w:type="dxa"/>
        <w:right w:w="15" w:type="dxa"/>
      </w:tblCellMar>
    </w:tblPr>
  </w:style>
  <w:style w:type="table" w:customStyle="1" w:styleId="30">
    <w:name w:val="_Style 38"/>
    <w:basedOn w:val="15"/>
    <w:qFormat/>
    <w:uiPriority w:val="0"/>
    <w:tblPr>
      <w:tblCellMar>
        <w:top w:w="15" w:type="dxa"/>
        <w:left w:w="15" w:type="dxa"/>
        <w:bottom w:w="15" w:type="dxa"/>
        <w:right w:w="15" w:type="dxa"/>
      </w:tblCellMar>
    </w:tblPr>
  </w:style>
  <w:style w:type="table" w:customStyle="1" w:styleId="31">
    <w:name w:val="_Style 39"/>
    <w:basedOn w:val="15"/>
    <w:qFormat/>
    <w:uiPriority w:val="0"/>
    <w:tblPr>
      <w:tblCellMar>
        <w:top w:w="15" w:type="dxa"/>
        <w:left w:w="15" w:type="dxa"/>
        <w:bottom w:w="15" w:type="dxa"/>
        <w:right w:w="15" w:type="dxa"/>
      </w:tblCellMar>
    </w:tblPr>
  </w:style>
  <w:style w:type="table" w:customStyle="1" w:styleId="32">
    <w:name w:val="_Style 41"/>
    <w:basedOn w:val="15"/>
    <w:qFormat/>
    <w:uiPriority w:val="0"/>
    <w:tblPr>
      <w:tblCellMar>
        <w:top w:w="15" w:type="dxa"/>
        <w:left w:w="15" w:type="dxa"/>
        <w:bottom w:w="15" w:type="dxa"/>
        <w:right w:w="15" w:type="dxa"/>
      </w:tblCellMar>
    </w:tblPr>
  </w:style>
  <w:style w:type="table" w:customStyle="1" w:styleId="33">
    <w:name w:val="_Style 42"/>
    <w:basedOn w:val="15"/>
    <w:qFormat/>
    <w:uiPriority w:val="0"/>
    <w:tblPr>
      <w:tblCellMar>
        <w:top w:w="15" w:type="dxa"/>
        <w:left w:w="15" w:type="dxa"/>
        <w:bottom w:w="15" w:type="dxa"/>
        <w:right w:w="15" w:type="dxa"/>
      </w:tblCellMar>
    </w:tblPr>
  </w:style>
  <w:style w:type="table" w:customStyle="1" w:styleId="34">
    <w:name w:val="_Style 43"/>
    <w:basedOn w:val="15"/>
    <w:qFormat/>
    <w:uiPriority w:val="0"/>
    <w:tblPr>
      <w:tblCellMar>
        <w:top w:w="15" w:type="dxa"/>
        <w:left w:w="15" w:type="dxa"/>
        <w:bottom w:w="15" w:type="dxa"/>
        <w:right w:w="15" w:type="dxa"/>
      </w:tblCellMar>
    </w:tblPr>
  </w:style>
  <w:style w:type="table" w:customStyle="1" w:styleId="35">
    <w:name w:val="_Style 44"/>
    <w:basedOn w:val="15"/>
    <w:uiPriority w:val="0"/>
    <w:tblPr>
      <w:tblCellMar>
        <w:top w:w="15" w:type="dxa"/>
        <w:left w:w="15" w:type="dxa"/>
        <w:bottom w:w="15" w:type="dxa"/>
        <w:right w:w="15" w:type="dxa"/>
      </w:tblCellMar>
    </w:tblPr>
  </w:style>
  <w:style w:type="table" w:customStyle="1" w:styleId="36">
    <w:name w:val="_Style 45"/>
    <w:basedOn w:val="15"/>
    <w:qFormat/>
    <w:uiPriority w:val="0"/>
    <w:tblPr>
      <w:tblCellMar>
        <w:top w:w="15" w:type="dxa"/>
        <w:left w:w="15" w:type="dxa"/>
        <w:bottom w:w="15" w:type="dxa"/>
        <w:right w:w="15" w:type="dxa"/>
      </w:tblCellMar>
    </w:tblPr>
  </w:style>
  <w:style w:type="table" w:customStyle="1" w:styleId="37">
    <w:name w:val="_Style 46"/>
    <w:basedOn w:val="15"/>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2024-04-02T13:18:12Z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8ED05937A72B4F38A9B263D0B0A7922F_12</vt:lpwstr>
  </property>
</Properties>
</file>