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04" w:rsidRDefault="00796704" w:rsidP="00796704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F0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ДОДАТОК №3  </w:t>
      </w:r>
    </w:p>
    <w:p w:rsidR="00796704" w:rsidRPr="004F04D5" w:rsidRDefault="00796704" w:rsidP="00796704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F0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796704" w:rsidRDefault="00796704" w:rsidP="00796704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96704" w:rsidRDefault="00796704" w:rsidP="00796704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96704" w:rsidRDefault="00796704" w:rsidP="00796704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96704" w:rsidRPr="004F04D5" w:rsidRDefault="00796704" w:rsidP="00796704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96704" w:rsidRPr="00A541C2" w:rsidRDefault="00796704" w:rsidP="0079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</w:pPr>
      <w:r w:rsidRPr="00A541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Технічне завдання щодо предмету закупівлі</w:t>
      </w:r>
    </w:p>
    <w:p w:rsidR="00796704" w:rsidRPr="00A541C2" w:rsidRDefault="00796704" w:rsidP="0079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</w:pPr>
    </w:p>
    <w:p w:rsidR="00796704" w:rsidRDefault="00796704" w:rsidP="0079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A541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 xml:space="preserve">Об’єкт будівництва: </w:t>
      </w:r>
      <w:r w:rsidRPr="007967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«Капітальний ремонт та вимощення поліклінічного відділення КНП «</w:t>
      </w:r>
      <w:proofErr w:type="spellStart"/>
      <w:r w:rsidRPr="007967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Доманівська</w:t>
      </w:r>
      <w:proofErr w:type="spellEnd"/>
      <w:r w:rsidRPr="007967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БЛ» ДСР, за адресою: Миколаївська область, </w:t>
      </w:r>
      <w:proofErr w:type="spellStart"/>
      <w:r w:rsidRPr="007967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смт</w:t>
      </w:r>
      <w:proofErr w:type="spellEnd"/>
      <w:r w:rsidRPr="007967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967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Доманівка</w:t>
      </w:r>
      <w:proofErr w:type="spellEnd"/>
      <w:r w:rsidRPr="007967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7967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вул.Пірогова</w:t>
      </w:r>
      <w:proofErr w:type="spellEnd"/>
      <w:r w:rsidRPr="007967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,6»</w:t>
      </w:r>
    </w:p>
    <w:p w:rsidR="00796704" w:rsidRPr="00A541C2" w:rsidRDefault="00796704" w:rsidP="0079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A541C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Показник класифікатора ДК 021:2015 (CPV): 45000000-7 - Будівельні роботи та поточний ремонт</w:t>
      </w:r>
    </w:p>
    <w:p w:rsidR="00796704" w:rsidRPr="004F04D5" w:rsidRDefault="00796704" w:rsidP="0079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</w:pPr>
    </w:p>
    <w:p w:rsidR="00796704" w:rsidRDefault="00796704" w:rsidP="0079670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F04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</w:t>
      </w:r>
    </w:p>
    <w:p w:rsidR="00796704" w:rsidRPr="0022147F" w:rsidRDefault="00796704" w:rsidP="0079670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</w:p>
    <w:p w:rsidR="00796704" w:rsidRPr="004B05AD" w:rsidRDefault="00796704" w:rsidP="00796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96704" w:rsidRDefault="00796704" w:rsidP="0079670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96704" w:rsidRPr="006276A3" w:rsidRDefault="00796704" w:rsidP="0079670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  <w:r w:rsidRPr="006276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ОБСЯГИ РОБІТ, ЯКІ ВИКОНУЮТЬСЯ  у 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3</w:t>
      </w:r>
      <w:r w:rsidRPr="006276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році</w:t>
      </w:r>
    </w:p>
    <w:p w:rsidR="00796704" w:rsidRPr="006276A3" w:rsidRDefault="00796704" w:rsidP="0079670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</w:p>
    <w:p w:rsidR="00796704" w:rsidRDefault="00796704" w:rsidP="0079670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96704" w:rsidRDefault="00796704" w:rsidP="00796704">
      <w:pPr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  <w:lang w:val="uk-UA"/>
        </w:rPr>
      </w:pPr>
    </w:p>
    <w:tbl>
      <w:tblPr>
        <w:tblW w:w="0" w:type="auto"/>
        <w:jc w:val="center"/>
        <w:tblInd w:w="-2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"/>
        <w:gridCol w:w="1182"/>
        <w:gridCol w:w="47"/>
        <w:gridCol w:w="1573"/>
        <w:gridCol w:w="12"/>
        <w:gridCol w:w="3252"/>
        <w:gridCol w:w="1101"/>
        <w:gridCol w:w="58"/>
        <w:gridCol w:w="1165"/>
        <w:gridCol w:w="12"/>
        <w:gridCol w:w="12"/>
        <w:gridCol w:w="938"/>
        <w:gridCol w:w="50"/>
        <w:gridCol w:w="12"/>
      </w:tblGrid>
      <w:tr w:rsidR="00796704" w:rsidRPr="00796704" w:rsidTr="00796704">
        <w:trPr>
          <w:gridBefore w:val="1"/>
          <w:gridAfter w:val="2"/>
          <w:wBefore w:w="21" w:type="dxa"/>
          <w:wAfter w:w="62" w:type="dxa"/>
          <w:trHeight w:val="230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..</w:t>
            </w:r>
          </w:p>
        </w:tc>
        <w:tc>
          <w:tcPr>
            <w:tcW w:w="163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  <w:proofErr w:type="spellEnd"/>
          </w:p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3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24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Кіль-</w:t>
            </w:r>
            <w:proofErr w:type="spellEnd"/>
          </w:p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</w:tr>
      <w:tr w:rsidR="00796704" w:rsidRPr="00796704" w:rsidTr="00796704">
        <w:trPr>
          <w:gridBefore w:val="1"/>
          <w:wBefore w:w="21" w:type="dxa"/>
          <w:trHeight w:val="1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96704"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</w:tc>
      </w:tr>
      <w:tr w:rsidR="00796704" w:rsidRPr="00796704" w:rsidTr="00796704">
        <w:trPr>
          <w:gridBefore w:val="1"/>
          <w:wBefore w:w="21" w:type="dxa"/>
          <w:trHeight w:val="1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704" w:rsidRPr="00796704" w:rsidRDefault="00796704" w:rsidP="00796704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96704"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  <w:r w:rsidRPr="007967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6704" w:rsidRPr="00796704" w:rsidTr="00796704">
        <w:trPr>
          <w:gridBefore w:val="1"/>
          <w:wBefore w:w="21" w:type="dxa"/>
          <w:trHeight w:val="1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704" w:rsidRPr="00796704" w:rsidRDefault="00796704" w:rsidP="00796704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96704"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  <w:r w:rsidRPr="007967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6704" w:rsidRPr="00796704" w:rsidTr="00796704">
        <w:trPr>
          <w:gridBefore w:val="1"/>
          <w:wBefore w:w="21" w:type="dxa"/>
          <w:jc w:val="center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704" w:rsidRPr="00796704" w:rsidRDefault="00796704" w:rsidP="00796704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6704" w:rsidRPr="00796704" w:rsidRDefault="00796704" w:rsidP="007967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6704" w:rsidRPr="00796704" w:rsidRDefault="00796704" w:rsidP="007967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6704" w:rsidRPr="00796704" w:rsidRDefault="00796704" w:rsidP="007967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96704" w:rsidRPr="00796704" w:rsidRDefault="00796704" w:rsidP="007967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6704" w:rsidRPr="00796704" w:rsidRDefault="00796704" w:rsidP="007967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704" w:rsidRPr="00796704" w:rsidRDefault="00796704" w:rsidP="007967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704" w:rsidRPr="00796704" w:rsidTr="00796704">
        <w:trPr>
          <w:gridBefore w:val="1"/>
          <w:wBefore w:w="21" w:type="dxa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96704" w:rsidRPr="00796704" w:rsidRDefault="00796704" w:rsidP="007967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704" w:rsidRPr="00796704" w:rsidRDefault="00796704" w:rsidP="007967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704" w:rsidRPr="00796704" w:rsidTr="00796704">
        <w:trPr>
          <w:gridBefore w:val="1"/>
          <w:wBefore w:w="21" w:type="dxa"/>
          <w:jc w:val="center"/>
        </w:trPr>
        <w:tc>
          <w:tcPr>
            <w:tcW w:w="11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70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70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53" w:type="dxa"/>
            <w:gridSpan w:val="2"/>
            <w:vAlign w:val="center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70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70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704" w:rsidRPr="00796704" w:rsidRDefault="00796704" w:rsidP="007967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704" w:rsidRPr="00796704" w:rsidTr="00796704">
        <w:trPr>
          <w:gridBefore w:val="1"/>
          <w:wBefore w:w="21" w:type="dxa"/>
          <w:jc w:val="center"/>
        </w:trPr>
        <w:tc>
          <w:tcPr>
            <w:tcW w:w="11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70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70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53" w:type="dxa"/>
            <w:gridSpan w:val="2"/>
            <w:vAlign w:val="center"/>
          </w:tcPr>
          <w:p w:rsidR="00796704" w:rsidRPr="00796704" w:rsidRDefault="00796704" w:rsidP="00796704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70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70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704" w:rsidRPr="00796704" w:rsidRDefault="00796704" w:rsidP="007967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704" w:rsidRPr="00796704" w:rsidTr="00796704">
        <w:trPr>
          <w:gridBefore w:val="1"/>
          <w:wBefore w:w="21" w:type="dxa"/>
          <w:jc w:val="center"/>
        </w:trPr>
        <w:tc>
          <w:tcPr>
            <w:tcW w:w="11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70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70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52" w:type="dxa"/>
            <w:vAlign w:val="center"/>
          </w:tcPr>
          <w:p w:rsidR="00796704" w:rsidRPr="00796704" w:rsidRDefault="00F469B7" w:rsidP="00796704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796704" w:rsidRPr="00F469B7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/>
              </w:rPr>
              <w:t xml:space="preserve"> Демонтажні роботи</w:t>
            </w:r>
          </w:p>
        </w:tc>
        <w:tc>
          <w:tcPr>
            <w:tcW w:w="1101" w:type="dxa"/>
            <w:vAlign w:val="bottom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70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70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704" w:rsidRPr="00796704" w:rsidRDefault="00796704" w:rsidP="007967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704" w:rsidRPr="00796704" w:rsidTr="00796704">
        <w:trPr>
          <w:gridBefore w:val="1"/>
          <w:wBefore w:w="21" w:type="dxa"/>
          <w:jc w:val="center"/>
        </w:trPr>
        <w:tc>
          <w:tcPr>
            <w:tcW w:w="11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70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70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52" w:type="dxa"/>
            <w:vAlign w:val="center"/>
          </w:tcPr>
          <w:p w:rsidR="00796704" w:rsidRPr="00796704" w:rsidRDefault="00796704" w:rsidP="00796704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1" w:type="dxa"/>
            <w:vAlign w:val="bottom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70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70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704" w:rsidRPr="00796704" w:rsidRDefault="00796704" w:rsidP="007967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704" w:rsidRPr="00796704" w:rsidTr="00796704">
        <w:trPr>
          <w:gridBefore w:val="1"/>
          <w:wBefore w:w="21" w:type="dxa"/>
          <w:jc w:val="center"/>
        </w:trPr>
        <w:tc>
          <w:tcPr>
            <w:tcW w:w="11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КР18-2-1</w:t>
            </w:r>
          </w:p>
        </w:tc>
        <w:tc>
          <w:tcPr>
            <w:tcW w:w="4353" w:type="dxa"/>
            <w:gridSpan w:val="2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Розбирання тротуарного бетонного каменю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704" w:rsidRPr="00796704" w:rsidRDefault="00796704" w:rsidP="007967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704" w:rsidRPr="00796704" w:rsidTr="00796704">
        <w:trPr>
          <w:gridBefore w:val="1"/>
          <w:wBefore w:w="21" w:type="dxa"/>
          <w:jc w:val="center"/>
        </w:trPr>
        <w:tc>
          <w:tcPr>
            <w:tcW w:w="11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КР18-2-1</w:t>
            </w:r>
          </w:p>
        </w:tc>
        <w:tc>
          <w:tcPr>
            <w:tcW w:w="4353" w:type="dxa"/>
            <w:gridSpan w:val="2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Розбирання дорожнього бетонного каменю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704" w:rsidRPr="00796704" w:rsidRDefault="00796704" w:rsidP="007967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704" w:rsidRPr="00796704" w:rsidTr="00796704">
        <w:trPr>
          <w:gridBefore w:val="1"/>
          <w:wBefore w:w="21" w:type="dxa"/>
          <w:jc w:val="center"/>
        </w:trPr>
        <w:tc>
          <w:tcPr>
            <w:tcW w:w="11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КР18-1-6</w:t>
            </w:r>
          </w:p>
        </w:tc>
        <w:tc>
          <w:tcPr>
            <w:tcW w:w="4353" w:type="dxa"/>
            <w:gridSpan w:val="2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покриттів</w:t>
            </w:r>
          </w:p>
          <w:p w:rsidR="00796704" w:rsidRPr="00796704" w:rsidRDefault="00796704" w:rsidP="00796704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вручну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0,0369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704" w:rsidRPr="00796704" w:rsidRDefault="00796704" w:rsidP="007967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704" w:rsidRPr="00796704" w:rsidTr="00796704">
        <w:trPr>
          <w:gridBefore w:val="1"/>
          <w:wBefore w:w="21" w:type="dxa"/>
          <w:jc w:val="center"/>
        </w:trPr>
        <w:tc>
          <w:tcPr>
            <w:tcW w:w="11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КР18-1-7</w:t>
            </w:r>
          </w:p>
        </w:tc>
        <w:tc>
          <w:tcPr>
            <w:tcW w:w="4353" w:type="dxa"/>
            <w:gridSpan w:val="2"/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цементнобетонних</w:t>
            </w:r>
            <w:proofErr w:type="spellEnd"/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 w:rsidP="00796704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670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0,1166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704" w:rsidRPr="00796704" w:rsidRDefault="00796704" w:rsidP="007967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704" w:rsidTr="00796704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КБ7-39-1</w:t>
            </w:r>
          </w:p>
          <w:p w:rsid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 дем.=0,8 к-</w:t>
            </w:r>
          </w:p>
          <w:p w:rsid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1,15</w:t>
            </w:r>
          </w:p>
        </w:tc>
        <w:tc>
          <w:tcPr>
            <w:tcW w:w="4423" w:type="dxa"/>
            <w:gridSpan w:val="4"/>
            <w:hideMark/>
          </w:tcPr>
          <w:p w:rsid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Складання і установлення сходів</w:t>
            </w:r>
          </w:p>
        </w:tc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Default="0079670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</w:t>
            </w:r>
          </w:p>
        </w:tc>
      </w:tr>
      <w:tr w:rsidR="00796704" w:rsidTr="00796704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КР16-77-4</w:t>
            </w:r>
          </w:p>
          <w:p w:rsid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 дем.=0,6</w:t>
            </w:r>
          </w:p>
        </w:tc>
        <w:tc>
          <w:tcPr>
            <w:tcW w:w="4423" w:type="dxa"/>
            <w:gridSpan w:val="4"/>
            <w:hideMark/>
          </w:tcPr>
          <w:p w:rsid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Заміна чавунних люків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Default="0079670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796704" w:rsidTr="00796704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С311-20-М</w:t>
            </w:r>
          </w:p>
        </w:tc>
        <w:tc>
          <w:tcPr>
            <w:tcW w:w="4423" w:type="dxa"/>
            <w:gridSpan w:val="4"/>
            <w:hideMark/>
          </w:tcPr>
          <w:p w:rsid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20 км</w:t>
            </w:r>
          </w:p>
          <w:p w:rsidR="00796704" w:rsidRPr="00F469B7" w:rsidRDefault="00796704" w:rsidP="0079670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 w:rsidRPr="00F469B7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Влаштування покриття  типу 1</w:t>
            </w:r>
          </w:p>
          <w:p w:rsidR="00796704" w:rsidRDefault="00796704" w:rsidP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                     (вимощення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)</w:t>
            </w:r>
          </w:p>
          <w:p w:rsid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Default="0079670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34,466</w:t>
            </w:r>
          </w:p>
        </w:tc>
      </w:tr>
      <w:tr w:rsidR="00796704" w:rsidTr="00796704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КР1-18-3</w:t>
            </w:r>
          </w:p>
        </w:tc>
        <w:tc>
          <w:tcPr>
            <w:tcW w:w="4423" w:type="dxa"/>
            <w:gridSpan w:val="4"/>
            <w:hideMark/>
          </w:tcPr>
          <w:p w:rsid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</w:t>
            </w:r>
          </w:p>
          <w:p w:rsid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до 2 м без кріплень з укосами,</w:t>
            </w:r>
          </w:p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0,135</w:t>
            </w:r>
          </w:p>
        </w:tc>
      </w:tr>
      <w:tr w:rsidR="00796704" w:rsidTr="00796704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КР1-6-1</w:t>
            </w:r>
          </w:p>
        </w:tc>
        <w:tc>
          <w:tcPr>
            <w:tcW w:w="4423" w:type="dxa"/>
            <w:gridSpan w:val="4"/>
            <w:hideMark/>
          </w:tcPr>
          <w:p w:rsid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Навантаження ґрунту вручну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0,135</w:t>
            </w:r>
          </w:p>
        </w:tc>
      </w:tr>
      <w:tr w:rsidR="00796704" w:rsidTr="00796704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</w:t>
            </w:r>
          </w:p>
        </w:tc>
        <w:tc>
          <w:tcPr>
            <w:tcW w:w="4423" w:type="dxa"/>
            <w:gridSpan w:val="4"/>
            <w:hideMark/>
          </w:tcPr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20 км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0,023625</w:t>
            </w:r>
          </w:p>
        </w:tc>
      </w:tr>
      <w:tr w:rsidR="00796704" w:rsidTr="00796704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КР8-31-1</w:t>
            </w:r>
          </w:p>
        </w:tc>
        <w:tc>
          <w:tcPr>
            <w:tcW w:w="4423" w:type="dxa"/>
            <w:gridSpan w:val="4"/>
            <w:hideMark/>
          </w:tcPr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Укладання шару </w:t>
            </w:r>
            <w:proofErr w:type="spellStart"/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геотекстиля</w:t>
            </w:r>
            <w:proofErr w:type="spellEnd"/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щільн</w:t>
            </w:r>
            <w:proofErr w:type="spellEnd"/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200г/м2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</w:t>
            </w:r>
          </w:p>
        </w:tc>
      </w:tr>
      <w:tr w:rsidR="00796704" w:rsidTr="00796704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С111-852</w:t>
            </w:r>
          </w:p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423" w:type="dxa"/>
            <w:gridSpan w:val="4"/>
            <w:hideMark/>
          </w:tcPr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щільн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200г/м2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62,1</w:t>
            </w:r>
          </w:p>
        </w:tc>
      </w:tr>
      <w:tr w:rsidR="00796704" w:rsidTr="00796704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КР18-20-4</w:t>
            </w:r>
          </w:p>
        </w:tc>
        <w:tc>
          <w:tcPr>
            <w:tcW w:w="4423" w:type="dxa"/>
            <w:gridSpan w:val="4"/>
            <w:hideMark/>
          </w:tcPr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підстильних та</w:t>
            </w:r>
          </w:p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вирівнювальних</w:t>
            </w:r>
            <w:proofErr w:type="spellEnd"/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 основи із щебеню</w:t>
            </w:r>
          </w:p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</w:t>
            </w:r>
            <w:proofErr w:type="spellEnd"/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20-40мм (сер. товщина 135мм)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100м3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0,06075</w:t>
            </w:r>
          </w:p>
        </w:tc>
      </w:tr>
      <w:tr w:rsidR="00796704" w:rsidTr="00796704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С1421-9453</w:t>
            </w:r>
          </w:p>
        </w:tc>
        <w:tc>
          <w:tcPr>
            <w:tcW w:w="4423" w:type="dxa"/>
            <w:gridSpan w:val="4"/>
            <w:hideMark/>
          </w:tcPr>
          <w:p w:rsid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</w:t>
            </w:r>
          </w:p>
          <w:p w:rsid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 робіт, фракція 20-40 мм, марка</w:t>
            </w:r>
          </w:p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М1000 і більше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7,6545</w:t>
            </w:r>
          </w:p>
        </w:tc>
      </w:tr>
      <w:tr w:rsidR="00796704" w:rsidTr="00796704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КР7-16-4</w:t>
            </w:r>
          </w:p>
        </w:tc>
        <w:tc>
          <w:tcPr>
            <w:tcW w:w="4423" w:type="dxa"/>
            <w:gridSpan w:val="4"/>
            <w:hideMark/>
          </w:tcPr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</w:t>
            </w:r>
          </w:p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бетонного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</w:tr>
      <w:tr w:rsidR="00796704" w:rsidTr="00796704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С1424-11610</w:t>
            </w:r>
          </w:p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423" w:type="dxa"/>
            <w:gridSpan w:val="4"/>
            <w:hideMark/>
          </w:tcPr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бетонні С12/15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4,59</w:t>
            </w:r>
          </w:p>
        </w:tc>
      </w:tr>
      <w:tr w:rsidR="00796704" w:rsidTr="00796704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КР18-36-1</w:t>
            </w:r>
          </w:p>
        </w:tc>
        <w:tc>
          <w:tcPr>
            <w:tcW w:w="4423" w:type="dxa"/>
            <w:gridSpan w:val="4"/>
            <w:hideMark/>
          </w:tcPr>
          <w:p w:rsid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Укладання металевої сітки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</w:t>
            </w:r>
            <w:proofErr w:type="spellEnd"/>
          </w:p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бетонне покриття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</w:tr>
      <w:tr w:rsidR="00796704" w:rsidTr="00796704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С111-870</w:t>
            </w:r>
          </w:p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423" w:type="dxa"/>
            <w:gridSpan w:val="4"/>
            <w:hideMark/>
          </w:tcPr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Сітка армована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 50х50х4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</w:tr>
      <w:tr w:rsidR="00796704" w:rsidTr="00796704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КР18-49-1</w:t>
            </w:r>
          </w:p>
        </w:tc>
        <w:tc>
          <w:tcPr>
            <w:tcW w:w="4423" w:type="dxa"/>
            <w:gridSpan w:val="4"/>
            <w:hideMark/>
          </w:tcPr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</w:p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фігурних елементів мощення [ФЭМ]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9670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</w:tr>
      <w:tr w:rsidR="00796704" w:rsidTr="00796704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423" w:type="dxa"/>
            <w:gridSpan w:val="4"/>
            <w:hideMark/>
          </w:tcPr>
          <w:p w:rsidR="00796704" w:rsidRPr="00796704" w:rsidRDefault="0079670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цементно-піщані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704" w:rsidRPr="00796704" w:rsidRDefault="0079670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2,4885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 w:rsidP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 w:rsidP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 w:rsidP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 w:rsidP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 w:rsidP="00F469B7">
            <w:pPr>
              <w:keepLines/>
              <w:autoSpaceDE w:val="0"/>
              <w:autoSpaceDN w:val="0"/>
              <w:rPr>
                <w:rFonts w:ascii="Arial" w:hAnsi="Arial" w:cs="Arial"/>
                <w:b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F469B7">
              <w:rPr>
                <w:rFonts w:ascii="Arial" w:hAnsi="Arial" w:cs="Arial"/>
                <w:b/>
                <w:spacing w:val="-3"/>
                <w:sz w:val="24"/>
                <w:szCs w:val="24"/>
                <w:lang w:val="uk-UA"/>
              </w:rPr>
              <w:t xml:space="preserve"> Влаштування покриття  типу 2 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 w:rsidP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КР1-18-3</w:t>
            </w:r>
          </w:p>
        </w:tc>
        <w:tc>
          <w:tcPr>
            <w:tcW w:w="4423" w:type="dxa"/>
            <w:gridSpan w:val="4"/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</w:t>
            </w:r>
          </w:p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до 2 м без кріплень з укосами,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0,2265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КР1-6-1</w:t>
            </w:r>
          </w:p>
        </w:tc>
        <w:tc>
          <w:tcPr>
            <w:tcW w:w="4423" w:type="dxa"/>
            <w:gridSpan w:val="4"/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Навантаження ґрунту вручну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0,2265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20 км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</w:t>
            </w:r>
          </w:p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0396375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КР8-31-1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Укладання шару </w:t>
            </w:r>
            <w:proofErr w:type="spellStart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геотекстиля</w:t>
            </w:r>
            <w:proofErr w:type="spellEnd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щільн</w:t>
            </w:r>
            <w:proofErr w:type="spellEnd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200г/м2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С111-852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щільн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200г/м2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103,5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КР18-20-4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підстильних та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 основи із щебеню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</w:t>
            </w:r>
            <w:proofErr w:type="spellEnd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20-40мм (сер. товщина 150мм)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0,11325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С1421-9453</w:t>
            </w:r>
          </w:p>
        </w:tc>
        <w:tc>
          <w:tcPr>
            <w:tcW w:w="4423" w:type="dxa"/>
            <w:gridSpan w:val="4"/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</w:t>
            </w:r>
          </w:p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 робіт, фракція 20-40 мм, марка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М1000 і більше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14,2695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КР18-20-2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підстильних та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 основи з </w:t>
            </w:r>
            <w:proofErr w:type="spellStart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щебенево-</w:t>
            </w:r>
            <w:proofErr w:type="spellEnd"/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піщаної суміші С7 фракції 0-40 мм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0,0755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Суміші щебенево-піщані С7 фракції 0-40 мм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9,211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КР18-49-1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фігурних елементів мощення [ФЭМ]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0,755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цементно-піщані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4,175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КР18-29-1</w:t>
            </w:r>
          </w:p>
        </w:tc>
        <w:tc>
          <w:tcPr>
            <w:tcW w:w="4423" w:type="dxa"/>
            <w:gridSpan w:val="4"/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бортових каменів бетонних і</w:t>
            </w:r>
          </w:p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залізобетонних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цементнобетонних</w:t>
            </w:r>
            <w:proofErr w:type="spellEnd"/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покриттях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К589921-</w:t>
            </w:r>
          </w:p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А001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Тротуарний  бетонний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БР100.20.8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КР18-18-1</w:t>
            </w:r>
          </w:p>
        </w:tc>
        <w:tc>
          <w:tcPr>
            <w:tcW w:w="4423" w:type="dxa"/>
            <w:gridSpan w:val="4"/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водоскидних споруд з</w:t>
            </w:r>
          </w:p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проїжджої частини з лотків поздовжніх зі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збірного бетону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2,12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С1415-8323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423" w:type="dxa"/>
            <w:gridSpan w:val="4"/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 лотки водовідвідні 6х33х20 (сірий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колір)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 w:rsidP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423" w:type="dxa"/>
            <w:gridSpan w:val="4"/>
            <w:hideMark/>
          </w:tcPr>
          <w:p w:rsidR="00F469B7" w:rsidRDefault="00F469B7" w:rsidP="00F469B7">
            <w:pPr>
              <w:keepLines/>
              <w:autoSpaceDE w:val="0"/>
              <w:autoSpaceDN w:val="0"/>
              <w:rPr>
                <w:rFonts w:ascii="Arial" w:hAnsi="Arial" w:cs="Arial"/>
                <w:b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  <w:p w:rsidR="00F469B7" w:rsidRPr="00F469B7" w:rsidRDefault="00F469B7" w:rsidP="00F469B7">
            <w:pPr>
              <w:keepLines/>
              <w:autoSpaceDE w:val="0"/>
              <w:autoSpaceDN w:val="0"/>
              <w:rPr>
                <w:rFonts w:ascii="Arial" w:hAnsi="Arial" w:cs="Arial"/>
                <w:b/>
                <w:spacing w:val="-3"/>
                <w:sz w:val="24"/>
                <w:szCs w:val="24"/>
                <w:lang w:val="uk-UA"/>
              </w:rPr>
            </w:pPr>
            <w:r w:rsidRPr="00F469B7">
              <w:rPr>
                <w:rFonts w:ascii="Arial" w:hAnsi="Arial" w:cs="Arial"/>
                <w:b/>
                <w:spacing w:val="-3"/>
                <w:sz w:val="24"/>
                <w:szCs w:val="24"/>
                <w:lang w:val="uk-UA"/>
              </w:rPr>
              <w:t xml:space="preserve"> Влаштування мощення  на</w:t>
            </w:r>
          </w:p>
          <w:p w:rsidR="00F469B7" w:rsidRPr="00F469B7" w:rsidRDefault="00F469B7" w:rsidP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b/>
                <w:spacing w:val="-3"/>
                <w:sz w:val="24"/>
                <w:szCs w:val="24"/>
                <w:lang w:val="uk-UA"/>
              </w:rPr>
              <w:t>головному вході</w:t>
            </w: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 w:rsidP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КР8-31-1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Укладання шару </w:t>
            </w:r>
            <w:proofErr w:type="spellStart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геотекстиля</w:t>
            </w:r>
            <w:proofErr w:type="spellEnd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щільн</w:t>
            </w:r>
            <w:proofErr w:type="spellEnd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200г/м2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1,31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С111-852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варіант 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Геотекстиль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щільн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200г/м2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150,65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31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КР18-20-4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підстильних та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 основи із щебеню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</w:t>
            </w:r>
            <w:proofErr w:type="spellEnd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20-40мм (сер. товщина 150мм)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0,1785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С1421-9453</w:t>
            </w:r>
          </w:p>
        </w:tc>
        <w:tc>
          <w:tcPr>
            <w:tcW w:w="4423" w:type="dxa"/>
            <w:gridSpan w:val="4"/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</w:t>
            </w:r>
          </w:p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 робіт, фракція 20-40 мм, марка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М1000 і більше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22,491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КР18-20-2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підстильних та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 основи з </w:t>
            </w:r>
            <w:proofErr w:type="spellStart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щебенево-</w:t>
            </w:r>
            <w:proofErr w:type="spellEnd"/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піщаної суміші С7 фракції 0-40 мм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0,117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Суміші щебенево-піщані С7 фракції 0-40 мм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14,274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КР18-49-1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фігурних елементів мощення [ФЭМ]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1,19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цементно-піщані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6,5807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КР18-49-1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тактильної бетонної плитки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"Конус" 300х300х60 на цементно-піщаній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суміщі</w:t>
            </w:r>
            <w:proofErr w:type="spellEnd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товщ. 40мм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0,027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цементно-піщані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С1426-11789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423" w:type="dxa"/>
            <w:gridSpan w:val="4"/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Тактильна бетонна  плитка "Конус"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300х300х60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2,727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КР18-49-1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тактильної бетонної плитки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"Полоса" 300х300х60 на цементно-піщаній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суміщі</w:t>
            </w:r>
            <w:proofErr w:type="spellEnd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товщ. 40мм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0,0333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цементно-піщані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0,184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С1426-11789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423" w:type="dxa"/>
            <w:gridSpan w:val="4"/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Тактильна бетонна  плитка "Полоса"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300х300х60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3,3633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КР18-29-1</w:t>
            </w:r>
          </w:p>
        </w:tc>
        <w:tc>
          <w:tcPr>
            <w:tcW w:w="4423" w:type="dxa"/>
            <w:gridSpan w:val="4"/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бортових каменів бетонних і</w:t>
            </w:r>
          </w:p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залізобетонних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цементнобетонних</w:t>
            </w:r>
            <w:proofErr w:type="spellEnd"/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покриттях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К589921-</w:t>
            </w:r>
          </w:p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А001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Дорожній  бетонний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БР100.30.15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КР18-18-1</w:t>
            </w:r>
          </w:p>
        </w:tc>
        <w:tc>
          <w:tcPr>
            <w:tcW w:w="4423" w:type="dxa"/>
            <w:gridSpan w:val="4"/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бетонного жолобу зі</w:t>
            </w:r>
          </w:p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штампованою решіткою з оцинкованої сталі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S'PARK ЛВ-10.16.10-Б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С1415-8323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423" w:type="dxa"/>
            <w:gridSpan w:val="4"/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Бетонний жолоб   зі штампованою решіткою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оцинкованої сталі S'PARK ЛВ-10.16.10-Б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КР18-36-1</w:t>
            </w:r>
          </w:p>
        </w:tc>
        <w:tc>
          <w:tcPr>
            <w:tcW w:w="4423" w:type="dxa"/>
            <w:gridSpan w:val="4"/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Укладання металевої сітки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</w:t>
            </w:r>
            <w:proofErr w:type="spellEnd"/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бетонне покриття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С111-870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Сітка армована  150х150х10,00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КБ6-1-1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суміші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0,0119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С1424-11610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бетонні С12/15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1,2138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КР18-29-1</w:t>
            </w:r>
          </w:p>
        </w:tc>
        <w:tc>
          <w:tcPr>
            <w:tcW w:w="4423" w:type="dxa"/>
            <w:gridSpan w:val="4"/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бортових каменів бетонних і</w:t>
            </w:r>
          </w:p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залізобетонних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цементнобетонних</w:t>
            </w:r>
            <w:proofErr w:type="spellEnd"/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покриттях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К589921-</w:t>
            </w:r>
          </w:p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А001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Тротуарний  бетонний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БР100.20.8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КР18-49-1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фігурних елементів мощення [ФЭМ]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0,045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цементно-піщані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КБ27-51-1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стовпчиків </w:t>
            </w:r>
            <w:proofErr w:type="spellStart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паркувальних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10стовп.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С1545-322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Стовпчики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паркувальні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 w:rsidP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 w:rsidP="00F469B7">
            <w:pPr>
              <w:keepLines/>
              <w:autoSpaceDE w:val="0"/>
              <w:autoSpaceDN w:val="0"/>
              <w:rPr>
                <w:rFonts w:ascii="Arial" w:hAnsi="Arial" w:cs="Arial"/>
                <w:b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</w:t>
            </w:r>
            <w:r w:rsidRPr="00F469B7">
              <w:rPr>
                <w:rFonts w:ascii="Arial" w:hAnsi="Arial" w:cs="Arial"/>
                <w:b/>
                <w:spacing w:val="-3"/>
                <w:sz w:val="24"/>
                <w:szCs w:val="24"/>
                <w:lang w:val="uk-UA"/>
              </w:rPr>
              <w:t xml:space="preserve"> Пандус 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 w:rsidP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КР1-18-3</w:t>
            </w:r>
          </w:p>
        </w:tc>
        <w:tc>
          <w:tcPr>
            <w:tcW w:w="4423" w:type="dxa"/>
            <w:gridSpan w:val="4"/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</w:t>
            </w:r>
          </w:p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до 2 м без кріплень з укосами,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0,0176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КР1-6-1</w:t>
            </w:r>
          </w:p>
        </w:tc>
        <w:tc>
          <w:tcPr>
            <w:tcW w:w="4423" w:type="dxa"/>
            <w:gridSpan w:val="4"/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Навантаження ґрунту вручну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0,0176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20 км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0,0308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КР8-31-1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Укладання </w:t>
            </w:r>
            <w:proofErr w:type="spellStart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прокладочної</w:t>
            </w:r>
            <w:proofErr w:type="spellEnd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гідроізоляції з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чорної плівки </w:t>
            </w:r>
            <w:proofErr w:type="spellStart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то-вщиною</w:t>
            </w:r>
            <w:proofErr w:type="spellEnd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200 мікрон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С111-852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423" w:type="dxa"/>
            <w:gridSpan w:val="4"/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Прокладочна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гідроізоляція з чорної плівки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200 мікрон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17,25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КР18-36-1</w:t>
            </w:r>
          </w:p>
        </w:tc>
        <w:tc>
          <w:tcPr>
            <w:tcW w:w="4423" w:type="dxa"/>
            <w:gridSpan w:val="4"/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Укладання металевої сітки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</w:t>
            </w:r>
            <w:proofErr w:type="spellEnd"/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бетонне покриття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С111-870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Сітка армована  150х150х10,00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КБ6-1-1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суміші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0,019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С1424-11610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бетонні С12/15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1,938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КР18-49-1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фігурних елементів мощення [ФЭМ]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0,042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цементно-піщані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0,232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КБ13-13-1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бетонних і обштукатурених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поверхонь ґрунтовкою </w:t>
            </w:r>
            <w:proofErr w:type="spellStart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СТ-17,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перший шар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С111-1624-1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СТ-17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КБ15-25-1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423" w:type="dxa"/>
            <w:gridSpan w:val="4"/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 поверхонь стін керамічними</w:t>
            </w:r>
          </w:p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плитками  на розчині із 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число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С111-1650-1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 для 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CM-117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22,75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С111-2000-1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Фуга для швів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CE 40 AQUASTATIC.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1,421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С188888-4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Пластмасові хрестики для укладання плитки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14,84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С111-256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423" w:type="dxa"/>
            <w:gridSpan w:val="4"/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Керамогранітна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плитка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Golden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Tile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Area</w:t>
            </w:r>
            <w:proofErr w:type="spellEnd"/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Cement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400*400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3,535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КР9-20-4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огорож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0,072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С121-393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огорожі пандуса з нержавіючої сталі 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пм</w:t>
            </w:r>
            <w:proofErr w:type="spellEnd"/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 w:rsidP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 w:rsidP="00F469B7">
            <w:pPr>
              <w:keepLines/>
              <w:autoSpaceDE w:val="0"/>
              <w:autoSpaceDN w:val="0"/>
              <w:rPr>
                <w:rFonts w:ascii="Arial" w:hAnsi="Arial" w:cs="Arial"/>
                <w:b/>
                <w:spacing w:val="-3"/>
                <w:sz w:val="24"/>
                <w:szCs w:val="24"/>
                <w:lang w:val="uk-UA"/>
              </w:rPr>
            </w:pPr>
            <w:r w:rsidRPr="00F469B7">
              <w:rPr>
                <w:rFonts w:ascii="Arial" w:hAnsi="Arial" w:cs="Arial"/>
                <w:b/>
                <w:spacing w:val="-3"/>
                <w:sz w:val="24"/>
                <w:szCs w:val="24"/>
                <w:lang w:val="uk-UA"/>
              </w:rPr>
              <w:t xml:space="preserve"> Інші роботи 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 w:rsidP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КР16-53-1</w:t>
            </w:r>
          </w:p>
        </w:tc>
        <w:tc>
          <w:tcPr>
            <w:tcW w:w="4423" w:type="dxa"/>
            <w:gridSpan w:val="4"/>
            <w:hideMark/>
          </w:tcPr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люка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469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F469B7" w:rsidTr="00F469B7">
        <w:trPr>
          <w:gridAfter w:val="1"/>
          <w:jc w:val="center"/>
        </w:trPr>
        <w:tc>
          <w:tcPr>
            <w:tcW w:w="1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С113-753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423" w:type="dxa"/>
            <w:gridSpan w:val="4"/>
            <w:hideMark/>
          </w:tcPr>
          <w:p w:rsid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Полімерпіщаний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круглий люк  D770 DN570</w:t>
            </w:r>
          </w:p>
          <w:p w:rsidR="00F469B7" w:rsidRPr="00F469B7" w:rsidRDefault="00F469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«важкий»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9B7" w:rsidRPr="00F469B7" w:rsidRDefault="00F469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</w:tbl>
    <w:p w:rsidR="00796704" w:rsidRPr="00D71074" w:rsidRDefault="00796704" w:rsidP="0079670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96704" w:rsidRDefault="00796704" w:rsidP="00796704">
      <w:pPr>
        <w:tabs>
          <w:tab w:val="left" w:pos="4080"/>
        </w:tabs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 xml:space="preserve">                                                   </w:t>
      </w:r>
    </w:p>
    <w:p w:rsidR="00830DB6" w:rsidRDefault="00F469B7" w:rsidP="00796704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F469B7" w:rsidRDefault="00F469B7" w:rsidP="00F469B7">
      <w:pPr>
        <w:rPr>
          <w:lang w:val="uk-UA"/>
        </w:rPr>
      </w:pPr>
      <w:r>
        <w:rPr>
          <w:lang w:val="uk-UA"/>
        </w:rPr>
        <w:t xml:space="preserve">               </w:t>
      </w:r>
    </w:p>
    <w:p w:rsidR="00DF62CB" w:rsidRDefault="00DF62CB" w:rsidP="00F469B7">
      <w:pPr>
        <w:rPr>
          <w:lang w:val="uk-UA"/>
        </w:rPr>
      </w:pPr>
    </w:p>
    <w:p w:rsidR="00DF62CB" w:rsidRDefault="00DF62CB" w:rsidP="00F469B7">
      <w:pPr>
        <w:rPr>
          <w:lang w:val="uk-UA"/>
        </w:rPr>
      </w:pPr>
    </w:p>
    <w:p w:rsidR="00DF62CB" w:rsidRDefault="00DF62CB" w:rsidP="00F469B7">
      <w:pPr>
        <w:rPr>
          <w:lang w:val="uk-UA"/>
        </w:rPr>
      </w:pPr>
    </w:p>
    <w:p w:rsidR="00DF62CB" w:rsidRDefault="00DF62CB" w:rsidP="00F469B7">
      <w:pPr>
        <w:rPr>
          <w:lang w:val="uk-UA"/>
        </w:rPr>
      </w:pPr>
    </w:p>
    <w:p w:rsidR="00DF62CB" w:rsidRDefault="00DF62CB" w:rsidP="00F469B7">
      <w:pPr>
        <w:rPr>
          <w:lang w:val="uk-UA"/>
        </w:rPr>
      </w:pPr>
    </w:p>
    <w:p w:rsidR="00DF62CB" w:rsidRDefault="00DF62CB" w:rsidP="00F469B7">
      <w:pPr>
        <w:rPr>
          <w:lang w:val="uk-UA"/>
        </w:rPr>
      </w:pPr>
    </w:p>
    <w:p w:rsidR="00DF62CB" w:rsidRDefault="00DF62CB" w:rsidP="00F469B7">
      <w:pPr>
        <w:rPr>
          <w:lang w:val="uk-UA"/>
        </w:rPr>
      </w:pPr>
    </w:p>
    <w:p w:rsidR="00DF62CB" w:rsidRDefault="00DF62CB" w:rsidP="00F469B7">
      <w:pPr>
        <w:rPr>
          <w:lang w:val="uk-UA"/>
        </w:rPr>
      </w:pPr>
    </w:p>
    <w:p w:rsidR="00DF62CB" w:rsidRDefault="00DF62CB" w:rsidP="00F469B7">
      <w:pPr>
        <w:rPr>
          <w:lang w:val="uk-UA"/>
        </w:rPr>
      </w:pPr>
    </w:p>
    <w:p w:rsidR="00DF62CB" w:rsidRDefault="00DF62CB" w:rsidP="00F469B7">
      <w:pPr>
        <w:rPr>
          <w:lang w:val="uk-UA"/>
        </w:rPr>
      </w:pPr>
    </w:p>
    <w:p w:rsidR="00F469B7" w:rsidRDefault="00F469B7" w:rsidP="00F469B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  <w:r>
        <w:rPr>
          <w:lang w:val="uk-UA"/>
        </w:rPr>
        <w:lastRenderedPageBreak/>
        <w:t xml:space="preserve">                              </w:t>
      </w:r>
      <w:r w:rsidRPr="006276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ОБСЯГИ РОБІТ, </w:t>
      </w:r>
      <w:r w:rsidR="00FD65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ЗАПЛАНОВАНІ  на</w:t>
      </w:r>
      <w:r w:rsidRPr="006276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4</w:t>
      </w:r>
      <w:r w:rsidRPr="006276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році</w:t>
      </w:r>
    </w:p>
    <w:p w:rsidR="00DF62CB" w:rsidRDefault="00DF62CB" w:rsidP="00F469B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</w:p>
    <w:tbl>
      <w:tblPr>
        <w:tblW w:w="0" w:type="auto"/>
        <w:jc w:val="center"/>
        <w:tblInd w:w="-2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"/>
        <w:gridCol w:w="1418"/>
        <w:gridCol w:w="79"/>
        <w:gridCol w:w="1196"/>
        <w:gridCol w:w="51"/>
        <w:gridCol w:w="3402"/>
        <w:gridCol w:w="942"/>
        <w:gridCol w:w="22"/>
        <w:gridCol w:w="964"/>
        <w:gridCol w:w="6"/>
        <w:gridCol w:w="958"/>
        <w:gridCol w:w="34"/>
        <w:gridCol w:w="28"/>
      </w:tblGrid>
      <w:tr w:rsidR="00DF62CB" w:rsidTr="00DF62CB">
        <w:trPr>
          <w:gridAfter w:val="2"/>
          <w:wAfter w:w="62" w:type="dxa"/>
          <w:trHeight w:val="230"/>
          <w:jc w:val="center"/>
        </w:trPr>
        <w:tc>
          <w:tcPr>
            <w:tcW w:w="15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..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  <w:proofErr w:type="spellEnd"/>
          </w:p>
          <w:p w:rsid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36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  <w:proofErr w:type="spellEnd"/>
          </w:p>
          <w:p w:rsid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</w:tr>
      <w:tr w:rsidR="00DF62CB" w:rsidTr="00DF62CB">
        <w:trPr>
          <w:trHeight w:val="184"/>
          <w:jc w:val="center"/>
        </w:trPr>
        <w:tc>
          <w:tcPr>
            <w:tcW w:w="15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F62CB" w:rsidRDefault="00DF62CB">
            <w:pPr>
              <w:keepLines/>
              <w:autoSpaceDE w:val="0"/>
              <w:autoSpaceDN w:val="0"/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DF62CB" w:rsidTr="00DF62CB">
        <w:trPr>
          <w:trHeight w:val="184"/>
          <w:jc w:val="center"/>
        </w:trPr>
        <w:tc>
          <w:tcPr>
            <w:tcW w:w="15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F62CB" w:rsidRDefault="00DF62CB">
            <w:pPr>
              <w:spacing w:line="256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t xml:space="preserve"> </w:t>
            </w:r>
          </w:p>
        </w:tc>
      </w:tr>
      <w:tr w:rsidR="00DF62CB" w:rsidTr="00DF62CB">
        <w:trPr>
          <w:trHeight w:val="184"/>
          <w:jc w:val="center"/>
        </w:trPr>
        <w:tc>
          <w:tcPr>
            <w:tcW w:w="15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F62CB" w:rsidRDefault="00DF62CB">
            <w:pPr>
              <w:spacing w:line="256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t xml:space="preserve"> </w:t>
            </w:r>
          </w:p>
        </w:tc>
      </w:tr>
      <w:tr w:rsidR="00DF62CB" w:rsidTr="00DF62CB">
        <w:trPr>
          <w:jc w:val="center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62CB" w:rsidRDefault="00DF62CB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62CB" w:rsidRDefault="00DF62C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2CB" w:rsidRDefault="00DF62C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F62CB" w:rsidRDefault="00DF62C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2CB" w:rsidRDefault="00DF62C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F62CB" w:rsidRDefault="00DF62C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F62CB" w:rsidRDefault="00DF62CB">
            <w:pPr>
              <w:rPr>
                <w:sz w:val="20"/>
                <w:szCs w:val="20"/>
                <w:lang w:eastAsia="ru-RU"/>
              </w:rPr>
            </w:pPr>
          </w:p>
        </w:tc>
      </w:tr>
      <w:tr w:rsidR="00DF62CB" w:rsidTr="00DF62CB">
        <w:trPr>
          <w:jc w:val="center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62CB" w:rsidRDefault="00DF62C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F62CB" w:rsidRDefault="00DF62CB">
            <w:pPr>
              <w:rPr>
                <w:sz w:val="20"/>
                <w:szCs w:val="20"/>
                <w:lang w:eastAsia="ru-RU"/>
              </w:rPr>
            </w:pPr>
          </w:p>
        </w:tc>
      </w:tr>
      <w:tr w:rsidR="00DF62CB" w:rsidTr="00DF62CB">
        <w:trPr>
          <w:jc w:val="center"/>
        </w:trPr>
        <w:tc>
          <w:tcPr>
            <w:tcW w:w="152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66" w:type="dxa"/>
            <w:gridSpan w:val="3"/>
            <w:vAlign w:val="center"/>
          </w:tcPr>
          <w:p w:rsid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62CB" w:rsidRDefault="00DF62CB">
            <w:pPr>
              <w:rPr>
                <w:sz w:val="20"/>
                <w:szCs w:val="20"/>
                <w:lang w:eastAsia="ru-RU"/>
              </w:rPr>
            </w:pPr>
          </w:p>
        </w:tc>
      </w:tr>
      <w:tr w:rsidR="00DF62CB" w:rsidTr="00DF62CB">
        <w:trPr>
          <w:jc w:val="center"/>
        </w:trPr>
        <w:tc>
          <w:tcPr>
            <w:tcW w:w="152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Default="00DF62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Default="00DF62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66" w:type="dxa"/>
            <w:gridSpan w:val="3"/>
            <w:hideMark/>
          </w:tcPr>
          <w:p w:rsid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Default="00DF62C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2CB" w:rsidRDefault="00DF62C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62CB" w:rsidRDefault="00DF62CB">
            <w:pPr>
              <w:rPr>
                <w:sz w:val="20"/>
                <w:szCs w:val="20"/>
                <w:lang w:eastAsia="ru-RU"/>
              </w:rPr>
            </w:pPr>
          </w:p>
        </w:tc>
      </w:tr>
      <w:tr w:rsidR="00DF62CB" w:rsidTr="00DF62CB">
        <w:trPr>
          <w:jc w:val="center"/>
        </w:trPr>
        <w:tc>
          <w:tcPr>
            <w:tcW w:w="152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Default="00DF62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Default="00DF62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66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r w:rsidRPr="00DF62CB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Влаштування покриття  типу 1</w:t>
            </w:r>
          </w:p>
          <w:p w:rsid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2CB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(вимощення)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Default="00DF62C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Default="00DF62C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62CB" w:rsidRDefault="00DF62CB">
            <w:pPr>
              <w:rPr>
                <w:sz w:val="20"/>
                <w:szCs w:val="20"/>
                <w:lang w:eastAsia="ru-RU"/>
              </w:rPr>
            </w:pPr>
          </w:p>
        </w:tc>
      </w:tr>
      <w:tr w:rsidR="00DF62CB" w:rsidTr="00DF62CB">
        <w:trPr>
          <w:jc w:val="center"/>
        </w:trPr>
        <w:tc>
          <w:tcPr>
            <w:tcW w:w="152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Default="00DF62C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Default="00DF62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КР1-18-3</w:t>
            </w:r>
          </w:p>
        </w:tc>
        <w:tc>
          <w:tcPr>
            <w:tcW w:w="4366" w:type="dxa"/>
            <w:gridSpan w:val="3"/>
            <w:hideMark/>
          </w:tcPr>
          <w:p w:rsidR="00DF62CB" w:rsidRDefault="00DF62C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</w:t>
            </w:r>
          </w:p>
          <w:p w:rsidR="00DF62CB" w:rsidRDefault="00DF62C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до 2 м без кріплень з укосами,</w:t>
            </w:r>
          </w:p>
          <w:p w:rsidR="00DF62CB" w:rsidRDefault="00DF62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Default="00DF62C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62CB" w:rsidRDefault="00DF62CB">
            <w:pPr>
              <w:rPr>
                <w:sz w:val="20"/>
                <w:szCs w:val="20"/>
                <w:lang w:eastAsia="ru-RU"/>
              </w:rPr>
            </w:pPr>
          </w:p>
        </w:tc>
      </w:tr>
      <w:tr w:rsidR="00DF62CB" w:rsidTr="00DF62CB">
        <w:trPr>
          <w:jc w:val="center"/>
        </w:trPr>
        <w:tc>
          <w:tcPr>
            <w:tcW w:w="152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Default="00DF62C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Default="00DF62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КР1-6-1</w:t>
            </w:r>
          </w:p>
        </w:tc>
        <w:tc>
          <w:tcPr>
            <w:tcW w:w="4366" w:type="dxa"/>
            <w:gridSpan w:val="3"/>
            <w:hideMark/>
          </w:tcPr>
          <w:p w:rsidR="00DF62CB" w:rsidRDefault="00DF62C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Навантаження ґрунту вручну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DF62CB" w:rsidRDefault="00DF62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Default="00DF62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Default="00DF62C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62CB" w:rsidRDefault="00DF62CB">
            <w:pPr>
              <w:rPr>
                <w:sz w:val="20"/>
                <w:szCs w:val="20"/>
                <w:lang w:eastAsia="ru-RU"/>
              </w:rPr>
            </w:pPr>
          </w:p>
        </w:tc>
      </w:tr>
      <w:tr w:rsidR="00DF62CB" w:rsidRP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С311-20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ґрунту до 20 км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0,023625</w:t>
            </w:r>
          </w:p>
        </w:tc>
      </w:tr>
      <w:tr w:rsidR="00DF62CB" w:rsidRP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КР8-31-1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Укладання шару </w:t>
            </w:r>
            <w:proofErr w:type="spellStart"/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геотекстиля</w:t>
            </w:r>
            <w:proofErr w:type="spellEnd"/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щільн</w:t>
            </w:r>
            <w:proofErr w:type="spellEnd"/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.</w:t>
            </w:r>
          </w:p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200г/м2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0,54</w:t>
            </w:r>
          </w:p>
        </w:tc>
      </w:tr>
      <w:tr w:rsidR="00DF62CB" w:rsidRP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С111-852</w:t>
            </w:r>
          </w:p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Геотекстиль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щільн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200г/м2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62,1</w:t>
            </w:r>
          </w:p>
        </w:tc>
      </w:tr>
      <w:tr w:rsidR="00DF62CB" w:rsidRP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КР18-20-4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підстильних та</w:t>
            </w:r>
          </w:p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шарів основи із щебеню</w:t>
            </w:r>
          </w:p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фр</w:t>
            </w:r>
            <w:proofErr w:type="spellEnd"/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. 20-40мм (сер. товщина 135мм)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0,06075</w:t>
            </w:r>
          </w:p>
        </w:tc>
      </w:tr>
      <w:tr w:rsidR="00DF62CB" w:rsidRP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С1421-9453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</w:t>
            </w:r>
          </w:p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будівельних робіт, фракція 20-40 мм, марка</w:t>
            </w:r>
          </w:p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М1000 і більше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7,6545</w:t>
            </w:r>
          </w:p>
        </w:tc>
      </w:tr>
      <w:tr w:rsidR="00DF62CB" w:rsidRP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КР7-16-4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підстильного шару</w:t>
            </w:r>
          </w:p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бетонного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4,5</w:t>
            </w:r>
          </w:p>
        </w:tc>
      </w:tr>
      <w:tr w:rsidR="00DF62CB" w:rsidRP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С1424-11610</w:t>
            </w:r>
          </w:p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бетонні С12/15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4,59</w:t>
            </w:r>
          </w:p>
        </w:tc>
      </w:tr>
      <w:tr w:rsidR="00DF62CB" w:rsidRP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КР18-36-1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Укладання металевої сітки в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цементно-</w:t>
            </w:r>
            <w:proofErr w:type="spellEnd"/>
          </w:p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бетонне покриття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</w:tr>
      <w:tr w:rsidR="00DF62CB" w:rsidRP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С111-870</w:t>
            </w:r>
          </w:p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Сітка армована 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Вр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-1 50х50х4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</w:tr>
      <w:tr w:rsidR="00DF62CB" w:rsidRP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КР18-49-1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</w:p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фігурних елементів мощення [ФЭМ]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0,45</w:t>
            </w:r>
          </w:p>
        </w:tc>
      </w:tr>
      <w:tr w:rsidR="00DF62CB" w:rsidRP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цементно-піщані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2,4885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DF62CB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uk-UA"/>
              </w:rPr>
              <w:t xml:space="preserve">Влаштування покриття  типу 2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КР1-18-3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глибиною до 2 м без кріплень з укосами,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група ґрунту 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0,2265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КР1-6-1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Навантаження ґрунту вручну на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самоскиди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0,2265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С311-20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ґрунту до 20 км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</w:t>
            </w:r>
          </w:p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0396375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КР8-31-1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Укладання шару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геотекстиля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щільн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200г/м2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0,9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С111-852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Геотекстиль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щільн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200г/м2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103,5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КР18-20-4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підстильних та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шарів основи із щебеню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фр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20-40мм (сер. товщина 150мм)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0,11325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С1421-9453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будівельних робіт, фракція 20-40 мм, марка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М1000 і більше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14,2695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КР18-20-2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підстильних та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шарів основи з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щебенево-</w:t>
            </w:r>
            <w:proofErr w:type="spellEnd"/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піщаної суміші С7 фракції 0-40 мм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0,0755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22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Суміші щебенево-піщані С7 фракції 0-40 мм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9,211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КР18-49-1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фігурних елементів мощення [ФЭМ]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0,755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цементно-піщані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4,175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КР18-29-1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бортових каменів бетонних і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залізобетонних при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цементнобетонних</w:t>
            </w:r>
            <w:proofErr w:type="spellEnd"/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покриттях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0,54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К589921-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А001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Тротуарний  бетонний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камень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БР100.20.8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КР18-18-1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водоскидних споруд з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проїжджої частини з лотків поздовжніх зі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збірного бетону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2,12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С1415-8323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Бетонні лотки водовідвідні 6х33х20 (сірий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колір)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uk-UA"/>
              </w:rPr>
            </w:pPr>
            <w:r w:rsidRPr="00DF62CB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uk-UA"/>
              </w:rPr>
              <w:t xml:space="preserve"> Влаштування мощення  на</w:t>
            </w:r>
          </w:p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uk-UA"/>
              </w:rPr>
              <w:t>головному вході</w:t>
            </w: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КР8-31-1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Укладання шару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геотекстиля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щільн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200г/м2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1,31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С111-852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Геотекстиль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щільн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200г/м2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150,65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КР18-20-4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підстильних та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шарів основи із щебеню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фр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20-40мм (сер. товщина 150мм)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0,1785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С1421-9453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будівельних робіт, фракція 20-40 мм, марка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М1000 і більше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22,491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КР18-20-2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підстильних та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шарів основи з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щебенево-</w:t>
            </w:r>
            <w:proofErr w:type="spellEnd"/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піщаної суміші С7 фракції 0-40 мм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0,117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Суміші щебенево-піщані С7 фракції 0-40 мм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14,274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КР18-49-1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фігурних елементів мощення [ФЭМ]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1,19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цементно-піщані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6,5807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КР18-49-1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Укладання тактильної бетонної плитки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"Конус" 300х300х60 на цементно-піщаній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суміщі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товщ. 40мм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0,027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цементно-піщані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С1426-11789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Тактильна бетонна  плитка "Конус"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300х300х60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2,727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КР18-49-1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Укладання тактильної бетонної плитки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"Полоса" 300х300х60 на цементно-піщаній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суміщі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товщ. 40мм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0,0333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цементно-піщані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0,184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С1426-11789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Тактильна бетонна  плитка "Полоса"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300х300х60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3,3633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КР18-29-1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бортових каменів бетонних і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залізобетонних при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цементнобетонних</w:t>
            </w:r>
            <w:proofErr w:type="spellEnd"/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покриттях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0,41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К589921-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А001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Дорожній  бетонний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камень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БР100.30.15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КР18-18-1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бетонного жолобу зі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штампованою решіткою з оцинкованої сталі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S'PARK ЛВ-10.16.10-Б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С1415-8323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варіант 2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Бетонний жолоб   зі штампованою решіткою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з оцинкованої сталі S'PARK ЛВ-10.16.10-Б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47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КР18-36-1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Укладання металевої сітки в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цементно-</w:t>
            </w:r>
            <w:proofErr w:type="spellEnd"/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бетонне покриття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С111-870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Сітка армована  150х150х10,00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КБ6-1-1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бетонної суміші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0,0119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С1424-11610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бетонні С12/15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1,2138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КР18-29-1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бортових каменів бетонних і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залізобетонних при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цементнобетонних</w:t>
            </w:r>
            <w:proofErr w:type="spellEnd"/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покриттях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К589921-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А001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Тротуарний  бетонний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камень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БР100.20.8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КР18-49-1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фігурних елементів мощення [ФЭМ]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0,045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цементно-піщані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КБ27-51-1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Установлення стовпчиків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паркувальних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10стовп.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С1545-322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Стовпчики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паркувальні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uk-UA"/>
              </w:rPr>
            </w:pPr>
            <w:r w:rsidRPr="00DF62CB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uk-UA"/>
              </w:rPr>
            </w:pPr>
            <w:r w:rsidRPr="00DF62CB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uk-UA"/>
              </w:rPr>
              <w:t xml:space="preserve">               </w:t>
            </w:r>
            <w:r w:rsidRPr="00DF62CB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uk-UA"/>
              </w:rPr>
              <w:t xml:space="preserve"> Пандус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 w:rsidP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КР1-18-3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глибиною до 2 м без кріплень з укосами,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група ґрунту 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0,0176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КР1-6-1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Навантаження ґрунту вручну на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самоскиди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0,0176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С311-20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ґрунту до 20 км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0,0308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КР8-31-1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Укладання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прокладочної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гідроізоляції з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чорної плівки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то-вщиною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200 мікрон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С111-852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Прокладочна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гідроізоляція з чорної плівки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товщиною 200 мікрон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17,25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КР18-36-1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Укладання металевої сітки в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цементно-</w:t>
            </w:r>
            <w:proofErr w:type="spellEnd"/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бетонне покриття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С111-870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Сітка армована  150х150х10,00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КБ6-1-1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бетонної суміші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0,019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С1424-11610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бетонні С12/15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1,938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КР18-49-1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фігурних елементів мощення [ФЭМ]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0,042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цементно-піщані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0,232</w:t>
            </w:r>
          </w:p>
        </w:tc>
      </w:tr>
      <w:tr w:rsidR="00DF62CB" w:rsidTr="00DF62CB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КБ13-13-1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395" w:type="dxa"/>
            <w:gridSpan w:val="3"/>
            <w:hideMark/>
          </w:tcPr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Ґрунтування бетонних і обштукатурених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поверхонь ґрунтовкою </w:t>
            </w:r>
            <w:proofErr w:type="spellStart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СТ-17,</w:t>
            </w:r>
          </w:p>
          <w:p w:rsidR="00DF62CB" w:rsidRPr="00DF62CB" w:rsidRDefault="00DF62C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перший шар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2CB" w:rsidRPr="00DF62CB" w:rsidRDefault="00DF62CB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F62C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0,035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С111-1624-1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СТ-17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КБ15-25-1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Облицювання  поверхонь стін керамічними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плитками  на розчині із сухої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суміші,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число плиток в 1 м2 до 7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0,035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С111-1650-1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суміш для плитки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Сeresit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CM-117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22,75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С111-2000-1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Фуга для швів 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CE 40 AQUASTATIC.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1,421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С188888-4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Пластмасові хрестики для укладання плитки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14,84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С111-256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Керамогранітна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плитка 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Golden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Tile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Area</w:t>
            </w:r>
            <w:proofErr w:type="spellEnd"/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Cement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400*400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3,535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75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КР9-20-4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металевих огорож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0,072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С121-393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огорожі пандуса з нержавіючої сталі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пм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7,2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uk-UA"/>
              </w:rPr>
              <w:t xml:space="preserve">       </w:t>
            </w:r>
            <w:r w:rsidRPr="005E056D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uk-UA"/>
              </w:rPr>
              <w:t xml:space="preserve"> Інші роботи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КР16-53-1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люка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С113-753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Полімерпіщаний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круглий люк  D770 DN570</w:t>
            </w:r>
          </w:p>
          <w:p w:rsid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«важкий» </w:t>
            </w:r>
          </w:p>
          <w:p w:rsid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4"/>
                <w:szCs w:val="24"/>
                <w:lang w:val="uk-UA"/>
              </w:rPr>
            </w:pPr>
            <w:r w:rsidRPr="005E056D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uk-UA"/>
              </w:rPr>
              <w:t>Демонтажні роботи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КР18-2-1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Розбирання тротуарного бетонного каменю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2,55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КР18-1-6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покриттів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вручну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0,10578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КР16-77-4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 дем.=0,6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(Демонтаж) Заміна чавунних люків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С311-20-М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сміття до 20 км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35,2848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uk-UA"/>
              </w:rPr>
            </w:pPr>
            <w:r w:rsidRPr="005E056D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uk-UA"/>
              </w:rPr>
              <w:t xml:space="preserve"> Влаштування покриття  типу 1</w:t>
            </w:r>
          </w:p>
          <w:p w:rsidR="005E056D" w:rsidRPr="005E056D" w:rsidRDefault="005E056D" w:rsidP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uk-UA"/>
              </w:rPr>
              <w:t>(вимощення)</w:t>
            </w: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КР1-18-3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глибиною до 2 м без кріплень з укосами,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група ґрунту 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0,327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КР1-6-1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Навантаження ґрунту вручну на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самоскиди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0,327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С311-20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ґрунту до 20 км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0,057225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КР8-31-1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Укладання шару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геотекстиля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щільн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200г/м2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1,314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С111-852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Геотекстиль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щільн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200г/м2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151,11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КР18-20-4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підстильних та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шарів основи із щебеню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фр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20-40мм (сер. товщина 135мм)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0,147825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С1421-9453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будівельних робіт, фракція 20-40 мм, марка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М1000 і більше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18,62595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КР18-29-1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бортових каменів бетонних і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залізобетонних при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цементнобетонних</w:t>
            </w:r>
            <w:proofErr w:type="spellEnd"/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покриттях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К589921-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А001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Тротуарний  бетонний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камень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БР100.20.8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КР7-16-4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бетонного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10,95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С1424-11610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бетонні С12/15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11,169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КР18-36-1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Укладання металевої сітки в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цементно-</w:t>
            </w:r>
            <w:proofErr w:type="spellEnd"/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бетонне покриття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1,095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С111-870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Сітка армована 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Вр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-1 50х50х4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109,5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КР18-49-1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фігурних елементів мощення [ФЭМ]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1,095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цементно-піщані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6,05535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  </w:t>
            </w: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056D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uk-UA"/>
              </w:rPr>
              <w:t>Влаштування покриття  типу 2</w:t>
            </w: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КР1-18-3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глибиною до 2 м без кріплень з укосами,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група ґрунту 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0,5175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КР1-6-1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Навантаження ґрунту вручну на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самоскиди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0,5175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С311-20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ґрунту до 20 км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0,09051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КР8-31-1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Укладання шару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геотекстиля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щільн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200г/м2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1,95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С111-852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Геотекстиль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щільн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200г/м2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224,25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КР18-20-4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підстильних та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шарів основи із щебеню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фр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20-40мм (сер. товщина 150мм)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0,24375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С1421-9453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будівельних робіт, фракція 20-40 мм, марка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М1000 і більше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30,7125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КР18-20-2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підстильних та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шарів основи з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щебенево-</w:t>
            </w:r>
            <w:proofErr w:type="spellEnd"/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піщаної суміші С7 фракції 0-40 мм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0,1625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Суміші щебенево-піщані С7 фракції 0-40 мм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19,825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КР18-49-1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фігурних елементів мощення [ФЭМ]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1,625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цементно-піщані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8,986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КР18-29-1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бортових каменів бетонних і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залізобетонних при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цементнобетонних</w:t>
            </w:r>
            <w:proofErr w:type="spellEnd"/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покриттях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0,89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К589921-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А001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Тротуарний  бетонний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камень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БР100.20.8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КР18-18-1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водоскидних споруд з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проїжджої частини з лотків поздовжніх зі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збірного бетону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0,647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С1415-8323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Бетонні лотки водовідвідні 6х33х20 (сірий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колір)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uk-UA"/>
              </w:rPr>
            </w:pPr>
            <w:r w:rsidRPr="005E056D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uk-UA"/>
              </w:rPr>
              <w:t xml:space="preserve"> Влаштування покриття  типу 3</w:t>
            </w:r>
          </w:p>
          <w:p w:rsidR="005E056D" w:rsidRPr="005E056D" w:rsidRDefault="005E056D" w:rsidP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uk-UA"/>
              </w:rPr>
              <w:t>(тротуар)</w:t>
            </w: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КР1-18-3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глибиною до 2 м без кріплень з укосами,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група ґрунту 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0,178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КР1-6-1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Навантаження ґрунту вручну на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самоскиди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0,178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С311-20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ґрунту до 20 км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0,03115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КР8-31-1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Укладання шару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геотекстиля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щільн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200г/м2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0,889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С111-852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Геотекстиль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щільн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200г/м2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102,235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КР18-20-4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підстильних та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шарів основи із щебеню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фр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20-40мм (сер. товщина 150мм)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0,13335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С1421-9453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будівельних робіт, фракція 20-40 мм, марка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М1000 і більше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16,8021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КР18-49-1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фігурних елементів мощення [ФЭМ]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0,889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цементно-піщані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4,916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КР18-29-1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бортових каменів бетонних і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залізобетонних при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цементнобетонних</w:t>
            </w:r>
            <w:proofErr w:type="spellEnd"/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покриттях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0,87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К589921-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А001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Тротуарний  бетонний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камень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БР100.20.8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      </w:t>
            </w:r>
            <w:r w:rsidRPr="005E056D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uk-UA"/>
              </w:rPr>
              <w:t>Влаштування сходів</w:t>
            </w: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КР1-18-3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глибиною до 2 м без кріплень з укосами,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група ґрунту 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100 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0,006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43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КР1-6-1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Навантаження ґрунту вручну на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самоскиди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0,006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С311-20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ґрунту до 20 км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0,0105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КР8-31-1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Укладання шару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геотекстиля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щільн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200г/м2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0,045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С111-852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Геотекстиль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щільн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200г/м2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5,175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КР18-20-4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підстильних та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шарів основи із щебеню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фр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20-40мм ( товщина 100мм)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0,0045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С1421-9453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будівельних робіт, фракція 20-40 мм, марка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М1000 і більше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0,567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КР18-36-1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Укладання металевої сітки в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цементно-</w:t>
            </w:r>
            <w:proofErr w:type="spellEnd"/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бетонне покриття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0,045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С111-870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Сітка армована  150х150х10,00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КБ6-1-1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бетонної суміші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0,007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С1424-11610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бетонні С12/15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0,714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КР18-29-1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бортових каменів бетонних і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залізобетонних при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цементнобетонних</w:t>
            </w:r>
            <w:proofErr w:type="spellEnd"/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покриттях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К589921-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А001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Тротуарний  бетонний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камень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БР100.20.8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КР18-49-1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фігурних елементів мощення [ФЭМ]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0,0288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цементно-піщані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0,159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           </w:t>
            </w:r>
            <w:r w:rsidRPr="005E056D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uk-UA"/>
              </w:rPr>
              <w:t xml:space="preserve"> Інші роботи</w:t>
            </w: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 w:rsidP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КР16-53-1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люка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E056D" w:rsidTr="005E056D">
        <w:trPr>
          <w:gridBefore w:val="1"/>
          <w:gridAfter w:val="1"/>
          <w:wBefore w:w="30" w:type="dxa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С113-753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5" w:type="dxa"/>
            <w:gridSpan w:val="3"/>
            <w:hideMark/>
          </w:tcPr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Полімерпіщаний</w:t>
            </w:r>
            <w:proofErr w:type="spellEnd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круглий люк  D770 DN570</w:t>
            </w:r>
          </w:p>
          <w:p w:rsidR="005E056D" w:rsidRPr="005E056D" w:rsidRDefault="005E056D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«важкий»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6D" w:rsidRPr="005E056D" w:rsidRDefault="005E056D">
            <w:pPr>
              <w:keepLines/>
              <w:autoSpaceDE w:val="0"/>
              <w:autoSpaceDN w:val="0"/>
              <w:jc w:val="right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056D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</w:tbl>
    <w:p w:rsidR="00DF62CB" w:rsidRDefault="00DF62CB" w:rsidP="00DF62CB">
      <w:pPr>
        <w:jc w:val="both"/>
        <w:rPr>
          <w:lang w:val="uk-UA"/>
        </w:rPr>
      </w:pPr>
    </w:p>
    <w:p w:rsidR="00FD6517" w:rsidRDefault="00FD6517" w:rsidP="00DF62CB">
      <w:pPr>
        <w:jc w:val="both"/>
        <w:rPr>
          <w:lang w:val="uk-UA"/>
        </w:rPr>
      </w:pPr>
    </w:p>
    <w:p w:rsidR="00FD6517" w:rsidRDefault="00FD6517" w:rsidP="00DF62CB">
      <w:pPr>
        <w:jc w:val="both"/>
        <w:rPr>
          <w:lang w:val="uk-UA"/>
        </w:rPr>
      </w:pPr>
    </w:p>
    <w:p w:rsidR="00FD6517" w:rsidRDefault="00FD6517" w:rsidP="00DF62CB">
      <w:pPr>
        <w:jc w:val="both"/>
        <w:rPr>
          <w:lang w:val="uk-UA"/>
        </w:rPr>
      </w:pPr>
    </w:p>
    <w:p w:rsidR="00FD6517" w:rsidRDefault="00FD6517" w:rsidP="00DF62CB">
      <w:pPr>
        <w:jc w:val="both"/>
        <w:rPr>
          <w:lang w:val="uk-UA"/>
        </w:rPr>
      </w:pPr>
      <w:bookmarkStart w:id="0" w:name="_GoBack"/>
      <w:bookmarkEnd w:id="0"/>
    </w:p>
    <w:p w:rsidR="00FD6517" w:rsidRPr="00AF7A26" w:rsidRDefault="00FD6517" w:rsidP="00FD6517">
      <w:pPr>
        <w:tabs>
          <w:tab w:val="left" w:pos="4080"/>
        </w:tabs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</w:pPr>
      <w:r w:rsidRPr="00AF7A26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>Примітки.</w:t>
      </w:r>
    </w:p>
    <w:p w:rsidR="00FD6517" w:rsidRPr="00AF7A26" w:rsidRDefault="00FD6517" w:rsidP="00FD6517">
      <w:pPr>
        <w:tabs>
          <w:tab w:val="left" w:pos="4080"/>
        </w:tabs>
        <w:ind w:firstLine="6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</w:pPr>
      <w:r w:rsidRPr="00AF7A26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>Згідно ч. 2 ст. 2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>3 Закону технічні</w:t>
      </w:r>
      <w:r w:rsidRPr="00AF7A26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 специфікаці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>ї не повинні</w:t>
      </w:r>
      <w:r w:rsidRPr="00AF7A26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 містити посилання на конкретн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і </w:t>
      </w:r>
      <w:r w:rsidRPr="00AF7A26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марку чи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виробника або конкретний процес, що характеризує продукт чи  послугу певного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>суб</w:t>
      </w:r>
      <w:proofErr w:type="spellEnd"/>
      <w:r w:rsidRPr="00B4544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’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>єкта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 господарювання, чи на торгові марки, патенти, типи або конкретне місце походження чи спосіб виробництва. </w:t>
      </w:r>
      <w:r w:rsidRPr="00AF7A26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У разі якщо таке посилання є необхідним, воно повинно бути обґрунтованим,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>та</w:t>
      </w:r>
      <w:r w:rsidRPr="00AF7A26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 містити вираз "або еквівалент".</w:t>
      </w:r>
    </w:p>
    <w:p w:rsidR="00FD6517" w:rsidRPr="00AF7A26" w:rsidRDefault="00FD6517" w:rsidP="00FD6517">
      <w:pPr>
        <w:tabs>
          <w:tab w:val="left" w:pos="4080"/>
        </w:tabs>
        <w:ind w:firstLine="6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AF7A26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Згідно розділу 3 наказу МЕРТУ від 17.03.2016 № 454 «Про затвердження Порядку визначення предмета закупівлі» визначення предмета закупівлі робіт здійснюється замовником згідно з пунктом 22 частини першої статті 1 Закону за об'єктами будівництва та з урахуванням ДСТУ Б.Д.1.1-1:2013 “Правила визначення вартості будівництва”, прийнятих наказом Міністерства регіонального розвитку, будівництва та житлово-комунального господарства України від 05 липня 2013 року № 293, із зазначенням у дужках предмета закупівлі відповідно до показників другої – п'ятої цифр Єдиного закупівельного словника. Згідно ч. 1 ст. 31 Закону України «Про регулювання містобудівної діяльності» проектна документація на будівництво об’єктів розробляється у порядку, встановленому центральним органом виконавчої влади, що забезпечує </w:t>
      </w:r>
      <w:r w:rsidRPr="00AF7A26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формування державної політики у сфері містобудування, з урахуванням вимог містобудівної документації та вихідних даних і дотриманням вимог законодавства, будівельних норм, державних стандартів і правил та затверджується замовником. Експертиза проектів будівництва проводиться в установленому Кабінетом Міністрів України порядку експертними організаціями незалежно від форми власності, які відповідають критеріям, визначеним центральним органом виконавчої влади, що забезпечує формування та реалізує державну політику у сфері будівництва, архітектури, містобудування, відомості про які внесені таким органом або на підставі делегованих повноважень </w:t>
      </w:r>
      <w:proofErr w:type="spellStart"/>
      <w:r w:rsidRPr="00AF7A26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саморегулівною</w:t>
      </w:r>
      <w:proofErr w:type="spellEnd"/>
      <w:r w:rsidRPr="00AF7A26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організацією у сфері архітектурної діяльності за відповідним напрямом підприємницької діяльності (у разі її утворення) до переліку експертних організацій. Згідно п. 3.17 розділу 3 ДБН А.2.2-3-2014 проектна документації - затверджені текстові та графічні матеріали, якими визначаються містобудівні, об’ємно-планувальні, архітектурні, конструктивні, технічні, технологічні рішення, а також кошториси об'єктів будівництва. Згідно п. 5.1.1 ДСТУ Б.Д.1.1-1:2013 кошторисна вартість будівництва, що визначається у складі </w:t>
      </w:r>
      <w:proofErr w:type="spellStart"/>
      <w:r w:rsidRPr="00AF7A26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інвесторської</w:t>
      </w:r>
      <w:proofErr w:type="spellEnd"/>
      <w:r w:rsidRPr="00AF7A26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кошторисної документації, використовується для планування капітальних вкладень, фінансування будівництва, проведення процедури закупівлі. При цьому, кошторисна вартість будівництва складається з будівельних робіт, вартості устаткування, що монтується чи не монтується, меблів, інвентарю та інших витрат. </w:t>
      </w:r>
    </w:p>
    <w:p w:rsidR="00FD6517" w:rsidRPr="00F469B7" w:rsidRDefault="00FD6517" w:rsidP="00FD6517">
      <w:pPr>
        <w:jc w:val="both"/>
        <w:rPr>
          <w:lang w:val="uk-UA"/>
        </w:rPr>
      </w:pPr>
      <w:r w:rsidRPr="00AF7A26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Отже, з урахуванням тих обставин, що для виконання робіт згідно об’єкту будівництва генеральним проектувальником розроблено проектну документацію на будівництво, яка згідно вимог чинного законодавства, будівельних норм, державних стандартів і правил визначає конкретні архітектурні, конструктивні, технічні та технологічні рішення щодо виконання робіт, в тому числі обсяги робіт, відомість ресурсів, а так само у порядку державної експертизи проведено розгляд проектної документації, за результатами якого отримано позитивний експертний звіт та затверджено техніко-економічні показники об’єкту будівництва, у</w:t>
      </w:r>
      <w:r w:rsidRPr="00AF7A26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сі посилання у даному Додатку на виробника матеріалу, механізму, чи виробу, торговельну марку, тощо (якщо інше не передбачено цією тендерною документацією) є необхідними з огляду на їх зазначення згідно затвердженої у встановленому порядку проектної документації на будівництво, та вживаються у значенні «___________ (найменування матеріалу/виробу чи механізму із зазначенням виробника, марки, тощо) або еквівалент». </w:t>
      </w:r>
      <w:r w:rsidRPr="00B45449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>З метою забезпечення повного виконання проектних рішень по виконанню робіт, в разі якщо учасником у тендерній пропозиції прийнято до розрахунку еквівалентні матеріали, вироби, конструкції, тощо, та по відношенню до визначених даним технічним завданням, такі матеріали, вироби, конструкції (тощо) мають повністю відповідати якісним та технічним характеристикам</w:t>
      </w:r>
      <w:r w:rsidRPr="00AF7A26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B45449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>тих, що вказані в цьому технічному завданні</w:t>
      </w:r>
    </w:p>
    <w:sectPr w:rsidR="00FD6517" w:rsidRPr="00F4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21"/>
    <w:rsid w:val="003A3F21"/>
    <w:rsid w:val="005E056D"/>
    <w:rsid w:val="00796704"/>
    <w:rsid w:val="00830DB6"/>
    <w:rsid w:val="00DF62CB"/>
    <w:rsid w:val="00F469B7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3624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2023-09-20T09:37:00Z</dcterms:created>
  <dcterms:modified xsi:type="dcterms:W3CDTF">2023-09-21T09:17:00Z</dcterms:modified>
</cp:coreProperties>
</file>