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68" w:rsidRPr="004C4A6A" w:rsidRDefault="001D7D68" w:rsidP="001D7D68">
      <w:pPr>
        <w:pStyle w:val="2"/>
      </w:pPr>
      <w:r w:rsidRPr="004C4A6A">
        <w:t>Додаток № 3 до тендерної документації</w:t>
      </w:r>
    </w:p>
    <w:p w:rsidR="001D7D68" w:rsidRPr="004C4A6A" w:rsidRDefault="001D7D68" w:rsidP="001D7D68">
      <w:pPr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20"/>
          <w:lang w:val="uk-UA"/>
        </w:rPr>
      </w:pPr>
      <w:r w:rsidRPr="004C4A6A">
        <w:rPr>
          <w:rFonts w:ascii="Times New Roman" w:hAnsi="Times New Roman"/>
          <w:b/>
          <w:bCs/>
          <w:sz w:val="20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C4A6A">
        <w:rPr>
          <w:rFonts w:ascii="Times New Roman" w:hAnsi="Times New Roman"/>
          <w:b/>
          <w:bCs/>
          <w:i/>
          <w:iCs/>
          <w:sz w:val="16"/>
          <w:szCs w:val="20"/>
          <w:lang w:val="uk-UA"/>
        </w:rPr>
        <w:t xml:space="preserve"> </w:t>
      </w:r>
    </w:p>
    <w:p w:rsidR="001D7D68" w:rsidRPr="004C4A6A" w:rsidRDefault="001D7D68" w:rsidP="001D7D68">
      <w:pPr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20"/>
          <w:lang w:val="uk-UA"/>
        </w:rPr>
      </w:pPr>
    </w:p>
    <w:p w:rsidR="001D7D68" w:rsidRPr="004C4A6A" w:rsidRDefault="001D7D68" w:rsidP="001D7D68">
      <w:pPr>
        <w:contextualSpacing/>
        <w:jc w:val="center"/>
        <w:rPr>
          <w:rFonts w:ascii="Times New Roman" w:hAnsi="Times New Roman"/>
          <w:b/>
          <w:bCs/>
          <w:iCs/>
          <w:sz w:val="18"/>
          <w:szCs w:val="20"/>
          <w:lang w:val="uk-UA"/>
        </w:rPr>
      </w:pPr>
      <w:r w:rsidRPr="004C4A6A">
        <w:rPr>
          <w:rFonts w:ascii="Times New Roman" w:hAnsi="Times New Roman"/>
          <w:b/>
          <w:bCs/>
          <w:iCs/>
          <w:sz w:val="18"/>
          <w:szCs w:val="20"/>
          <w:lang w:val="uk-UA"/>
        </w:rPr>
        <w:t>Предмет закупівлі:</w:t>
      </w:r>
      <w:r w:rsidRPr="004C4A6A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   </w:t>
      </w:r>
    </w:p>
    <w:p w:rsidR="001D7D68" w:rsidRPr="004C4A6A" w:rsidRDefault="0008797B" w:rsidP="001D7D68">
      <w:pPr>
        <w:contextualSpacing/>
        <w:jc w:val="center"/>
        <w:rPr>
          <w:rFonts w:ascii="Times New Roman" w:hAnsi="Times New Roman"/>
          <w:b/>
          <w:bCs/>
          <w:iCs/>
          <w:sz w:val="18"/>
          <w:szCs w:val="20"/>
          <w:lang w:val="uk-UA"/>
        </w:rPr>
      </w:pPr>
      <w:r>
        <w:rPr>
          <w:rFonts w:ascii="Times New Roman" w:hAnsi="Times New Roman"/>
          <w:b/>
          <w:bCs/>
          <w:iCs/>
          <w:sz w:val="18"/>
          <w:szCs w:val="20"/>
          <w:lang w:val="uk-UA"/>
        </w:rPr>
        <w:t>Бензин А95</w:t>
      </w:r>
    </w:p>
    <w:p w:rsidR="001D7D68" w:rsidRPr="004C4A6A" w:rsidRDefault="001D7D68" w:rsidP="001D7D68">
      <w:pPr>
        <w:contextualSpacing/>
        <w:jc w:val="center"/>
        <w:rPr>
          <w:rFonts w:ascii="Times New Roman" w:hAnsi="Times New Roman"/>
          <w:b/>
          <w:bCs/>
          <w:iCs/>
          <w:sz w:val="18"/>
          <w:szCs w:val="20"/>
          <w:lang w:val="uk-UA"/>
        </w:rPr>
      </w:pPr>
      <w:r w:rsidRPr="004C4A6A">
        <w:rPr>
          <w:rFonts w:ascii="Times New Roman" w:hAnsi="Times New Roman"/>
          <w:b/>
          <w:bCs/>
          <w:iCs/>
          <w:sz w:val="18"/>
          <w:szCs w:val="20"/>
          <w:lang w:val="uk-UA"/>
        </w:rPr>
        <w:t>ДК 021:2015 -   09130000-9 - Нафта і дистиляти</w:t>
      </w:r>
    </w:p>
    <w:p w:rsidR="001D7D68" w:rsidRPr="004C4A6A" w:rsidRDefault="001D7D68" w:rsidP="001D7D68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797"/>
        <w:gridCol w:w="1057"/>
        <w:gridCol w:w="1276"/>
        <w:gridCol w:w="4394"/>
      </w:tblGrid>
      <w:tr w:rsidR="001D7D68" w:rsidRPr="004C4A6A" w:rsidTr="00004F83">
        <w:trPr>
          <w:trHeight w:val="5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  <w:t xml:space="preserve">     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>Найменування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</w:pPr>
            <w:proofErr w:type="spellStart"/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>Од.вим</w:t>
            </w:r>
            <w:proofErr w:type="spellEnd"/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>Кількість, всього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szCs w:val="24"/>
                <w:lang w:val="uk-UA" w:eastAsia="uk-UA"/>
              </w:rPr>
              <w:t>Відповідність ДСТУ</w:t>
            </w:r>
          </w:p>
        </w:tc>
      </w:tr>
      <w:tr w:rsidR="001D7D68" w:rsidRPr="004C4A6A" w:rsidTr="00004F83">
        <w:trPr>
          <w:trHeight w:val="61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b/>
                <w:sz w:val="20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4C4A6A" w:rsidRDefault="001D7D68" w:rsidP="00004F83">
            <w:pPr>
              <w:spacing w:before="100" w:beforeAutospacing="1" w:after="119" w:line="276" w:lineRule="auto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Бензин А95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4C4A6A" w:rsidRDefault="001D7D68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b/>
                <w:sz w:val="20"/>
                <w:lang w:val="uk-UA" w:eastAsia="uk-UA"/>
              </w:rPr>
            </w:pPr>
            <w:r w:rsidRPr="004C4A6A">
              <w:rPr>
                <w:rFonts w:ascii="Times New Roman" w:hAnsi="Times New Roman"/>
                <w:b/>
                <w:sz w:val="20"/>
                <w:lang w:val="uk-UA" w:eastAsia="uk-UA"/>
              </w:rPr>
              <w:t xml:space="preserve">літр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4C4A6A" w:rsidRDefault="00392DAE" w:rsidP="0000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b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lang w:val="uk-UA" w:eastAsia="uk-UA"/>
              </w:rP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8" w:rsidRPr="00A64B03" w:rsidRDefault="001D7D68" w:rsidP="00004F83">
            <w:pPr>
              <w:pStyle w:val="a4"/>
              <w:spacing w:after="0"/>
              <w:rPr>
                <w:rFonts w:ascii="Times New Roman" w:hAnsi="Times New Roman"/>
                <w:szCs w:val="22"/>
              </w:rPr>
            </w:pPr>
            <w:r w:rsidRPr="00A64B03">
              <w:rPr>
                <w:rFonts w:ascii="Times New Roman" w:hAnsi="Times New Roman"/>
                <w:szCs w:val="22"/>
              </w:rPr>
              <w:t xml:space="preserve">За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своїми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характеристиками і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показниками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повинен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відповідати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ДСТУ 7687:2015 «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Бензини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автомобільні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Євро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Технічні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умови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» та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Технічному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регламенту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щодо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вимог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до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автомобільних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бензинів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, дизельного,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суднових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та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котельних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палив.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Показники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якості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повинні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відповідати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значенням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норм за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екологічним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класом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Євро5. Бензин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має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бути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виготовлений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на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нафтовій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основі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, без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додавання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4B03">
              <w:rPr>
                <w:rFonts w:ascii="Times New Roman" w:hAnsi="Times New Roman"/>
                <w:szCs w:val="22"/>
              </w:rPr>
              <w:t>етанолу</w:t>
            </w:r>
            <w:proofErr w:type="spellEnd"/>
            <w:r w:rsidRPr="00A64B03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1D7D68" w:rsidRPr="004C4A6A" w:rsidRDefault="001D7D68" w:rsidP="001D7D68">
      <w:pPr>
        <w:autoSpaceDN w:val="0"/>
        <w:spacing w:after="200" w:line="276" w:lineRule="auto"/>
        <w:jc w:val="both"/>
        <w:rPr>
          <w:rFonts w:ascii="Times New Roman" w:hAnsi="Times New Roman"/>
          <w:lang w:val="uk-UA"/>
        </w:rPr>
      </w:pPr>
    </w:p>
    <w:p w:rsidR="001D7D68" w:rsidRPr="004C4A6A" w:rsidRDefault="001D7D68" w:rsidP="001D7D68">
      <w:pPr>
        <w:numPr>
          <w:ilvl w:val="0"/>
          <w:numId w:val="1"/>
        </w:numPr>
        <w:autoSpaceDN w:val="0"/>
        <w:spacing w:after="200" w:line="276" w:lineRule="auto"/>
        <w:jc w:val="both"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 xml:space="preserve">Якість товару повинна відповідати діючим на території України ДСТУ або ТУ підприємства-виробника та підтверджуватись паспортом якості. </w:t>
      </w:r>
      <w:bookmarkStart w:id="0" w:name="_GoBack"/>
      <w:bookmarkEnd w:id="0"/>
    </w:p>
    <w:p w:rsidR="001D7D68" w:rsidRPr="004C4A6A" w:rsidRDefault="001D7D68" w:rsidP="001D7D68">
      <w:pPr>
        <w:numPr>
          <w:ilvl w:val="0"/>
          <w:numId w:val="1"/>
        </w:numPr>
        <w:contextualSpacing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>Учасники процедури закупівлі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саме, відповідну технічну специфікацію та копії сертифікатів відповідності та паспортів якості із визначенням технічних та якісних характеристик на кожне найменування товару, що пропонується згідно пропозиції Учасника.</w:t>
      </w:r>
      <w:r w:rsidRPr="004C4A6A">
        <w:rPr>
          <w:sz w:val="20"/>
          <w:lang w:val="uk-UA"/>
        </w:rPr>
        <w:t xml:space="preserve"> </w:t>
      </w:r>
    </w:p>
    <w:p w:rsidR="001D7D68" w:rsidRPr="004C4A6A" w:rsidRDefault="001D7D68" w:rsidP="001D7D68">
      <w:pPr>
        <w:ind w:left="720"/>
        <w:contextualSpacing/>
        <w:rPr>
          <w:rFonts w:ascii="Times New Roman" w:hAnsi="Times New Roman"/>
          <w:sz w:val="20"/>
          <w:lang w:val="uk-UA"/>
        </w:rPr>
      </w:pPr>
    </w:p>
    <w:p w:rsidR="001D7D68" w:rsidRPr="004C4A6A" w:rsidRDefault="001D7D68" w:rsidP="001D7D68">
      <w:pPr>
        <w:numPr>
          <w:ilvl w:val="0"/>
          <w:numId w:val="1"/>
        </w:numPr>
        <w:tabs>
          <w:tab w:val="center" w:pos="4677"/>
        </w:tabs>
        <w:autoSpaceDN w:val="0"/>
        <w:spacing w:after="200" w:line="276" w:lineRule="auto"/>
        <w:jc w:val="both"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 xml:space="preserve">Документ (документи), що підтверджує (підтверджують) якість товару, що пропонується учасником для постачання за договором про закупівлю: </w:t>
      </w:r>
      <w:r>
        <w:rPr>
          <w:rFonts w:ascii="Times New Roman" w:hAnsi="Times New Roman"/>
          <w:sz w:val="20"/>
          <w:lang w:val="uk-UA"/>
        </w:rPr>
        <w:t xml:space="preserve">Бензин А95 </w:t>
      </w:r>
      <w:r w:rsidRPr="004C4A6A">
        <w:rPr>
          <w:rFonts w:ascii="Times New Roman" w:hAnsi="Times New Roman"/>
          <w:sz w:val="20"/>
          <w:lang w:val="uk-UA"/>
        </w:rPr>
        <w:t>, згідно з умовами тендерної документації:</w:t>
      </w:r>
    </w:p>
    <w:p w:rsidR="001D7D68" w:rsidRPr="004C4A6A" w:rsidRDefault="001D7D68" w:rsidP="001D7D68">
      <w:pPr>
        <w:tabs>
          <w:tab w:val="center" w:pos="4677"/>
        </w:tabs>
        <w:autoSpaceDN w:val="0"/>
        <w:spacing w:after="200" w:line="276" w:lineRule="auto"/>
        <w:ind w:left="360"/>
        <w:jc w:val="both"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>- копію (копії) декларації (декларацій) про відповідність,</w:t>
      </w:r>
    </w:p>
    <w:p w:rsidR="001D7D68" w:rsidRPr="004C4A6A" w:rsidRDefault="001D7D68" w:rsidP="001D7D68">
      <w:pPr>
        <w:tabs>
          <w:tab w:val="center" w:pos="4677"/>
        </w:tabs>
        <w:autoSpaceDN w:val="0"/>
        <w:spacing w:after="200" w:line="276" w:lineRule="auto"/>
        <w:ind w:left="360"/>
        <w:jc w:val="both"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>- оригінал чи копію сертифікату (сертифікатів) відповідності (у разі наявності), що є дійсним (дійсними) на дату кінцевого строку подання пропозицій,</w:t>
      </w:r>
    </w:p>
    <w:p w:rsidR="001D7D68" w:rsidRPr="004C4A6A" w:rsidRDefault="001D7D68" w:rsidP="001D7D68">
      <w:pPr>
        <w:tabs>
          <w:tab w:val="center" w:pos="4677"/>
        </w:tabs>
        <w:autoSpaceDN w:val="0"/>
        <w:spacing w:after="200" w:line="276" w:lineRule="auto"/>
        <w:ind w:left="360"/>
        <w:jc w:val="both"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 xml:space="preserve">- зразок (зразки) копії паспорта якості на партію товару, що буде постачатися за договором про закупівлю, із зазначенням результатів випробувань, які підтверджують відповідність вимогам Технічного регламенту, ДСТУ </w:t>
      </w:r>
    </w:p>
    <w:p w:rsidR="001D7D68" w:rsidRPr="004C4A6A" w:rsidRDefault="001D7D68" w:rsidP="001D7D68">
      <w:pPr>
        <w:tabs>
          <w:tab w:val="center" w:pos="4677"/>
        </w:tabs>
        <w:autoSpaceDN w:val="0"/>
        <w:spacing w:after="200" w:line="276" w:lineRule="auto"/>
        <w:ind w:left="360"/>
        <w:jc w:val="both"/>
        <w:rPr>
          <w:rFonts w:ascii="Times New Roman" w:hAnsi="Times New Roman"/>
          <w:sz w:val="20"/>
          <w:highlight w:val="yellow"/>
          <w:lang w:val="uk-UA"/>
        </w:rPr>
      </w:pPr>
      <w:r w:rsidRPr="004C4A6A">
        <w:rPr>
          <w:rFonts w:ascii="Times New Roman" w:hAnsi="Times New Roman"/>
          <w:sz w:val="20"/>
          <w:lang w:val="uk-UA"/>
        </w:rPr>
        <w:t>4 Учасник    повинен   забезпечити    доставку Товару щоденно, цілодобово по довірчим документам</w:t>
      </w:r>
    </w:p>
    <w:p w:rsidR="001D7D68" w:rsidRPr="004C4A6A" w:rsidRDefault="001D7D68" w:rsidP="001D7D68">
      <w:pPr>
        <w:numPr>
          <w:ilvl w:val="0"/>
          <w:numId w:val="3"/>
        </w:numPr>
        <w:autoSpaceDN w:val="0"/>
        <w:spacing w:after="200" w:line="276" w:lineRule="auto"/>
        <w:contextualSpacing/>
        <w:rPr>
          <w:rFonts w:ascii="Times New Roman" w:hAnsi="Times New Roman"/>
          <w:sz w:val="20"/>
          <w:lang w:val="uk-UA"/>
        </w:rPr>
      </w:pPr>
      <w:r w:rsidRPr="004C4A6A">
        <w:rPr>
          <w:rFonts w:ascii="Times New Roman" w:hAnsi="Times New Roman"/>
          <w:b/>
          <w:sz w:val="20"/>
          <w:lang w:val="uk-UA"/>
        </w:rPr>
        <w:t xml:space="preserve">Постачання пального здійснюється  за допомогою виданих  талонів, які видаються для  отримання товару на АЗС. </w:t>
      </w:r>
      <w:r w:rsidRPr="004C4A6A">
        <w:rPr>
          <w:rFonts w:ascii="Times New Roman" w:hAnsi="Times New Roman"/>
          <w:sz w:val="20"/>
          <w:lang w:val="uk-UA"/>
        </w:rPr>
        <w:t>Талони повинні</w:t>
      </w:r>
      <w:r w:rsidRPr="004C4A6A">
        <w:rPr>
          <w:rFonts w:ascii="Times New Roman" w:hAnsi="Times New Roman"/>
          <w:b/>
          <w:sz w:val="20"/>
          <w:lang w:val="uk-UA"/>
        </w:rPr>
        <w:t xml:space="preserve"> </w:t>
      </w:r>
      <w:r w:rsidRPr="004C4A6A">
        <w:rPr>
          <w:rFonts w:ascii="Times New Roman" w:hAnsi="Times New Roman"/>
          <w:sz w:val="20"/>
          <w:lang w:val="uk-UA"/>
        </w:rPr>
        <w:t>номіналом</w:t>
      </w:r>
      <w:r w:rsidRPr="004C4A6A">
        <w:rPr>
          <w:rFonts w:ascii="Times New Roman" w:hAnsi="Times New Roman"/>
          <w:b/>
          <w:sz w:val="20"/>
          <w:lang w:val="uk-UA"/>
        </w:rPr>
        <w:t xml:space="preserve"> </w:t>
      </w:r>
      <w:r w:rsidRPr="004C4A6A">
        <w:rPr>
          <w:rFonts w:ascii="Times New Roman" w:hAnsi="Times New Roman"/>
          <w:sz w:val="20"/>
          <w:lang w:val="uk-UA"/>
        </w:rPr>
        <w:t>10,20 літрів та мати термін дії не менше 12 місяців,</w:t>
      </w:r>
      <w:r w:rsidRPr="004C4A6A">
        <w:rPr>
          <w:rFonts w:ascii="Times New Roman" w:hAnsi="Times New Roman"/>
          <w:b/>
          <w:sz w:val="20"/>
          <w:lang w:val="uk-UA"/>
        </w:rPr>
        <w:t xml:space="preserve">  </w:t>
      </w:r>
      <w:r w:rsidRPr="004C4A6A">
        <w:rPr>
          <w:rFonts w:ascii="Times New Roman" w:hAnsi="Times New Roman"/>
          <w:sz w:val="20"/>
          <w:lang w:val="uk-UA"/>
        </w:rPr>
        <w:t xml:space="preserve">Для більш раціонального використання та економії нафтопродуктів предмету закупівлі  </w:t>
      </w:r>
      <w:r>
        <w:rPr>
          <w:rFonts w:ascii="Times New Roman" w:hAnsi="Times New Roman"/>
          <w:b/>
          <w:sz w:val="20"/>
          <w:lang w:val="uk-UA"/>
        </w:rPr>
        <w:t>Бензин А95</w:t>
      </w:r>
      <w:r w:rsidRPr="004C4A6A">
        <w:rPr>
          <w:rFonts w:ascii="Times New Roman" w:hAnsi="Times New Roman"/>
          <w:b/>
          <w:sz w:val="20"/>
          <w:lang w:val="uk-UA"/>
        </w:rPr>
        <w:t xml:space="preserve"> </w:t>
      </w:r>
      <w:r w:rsidRPr="004C4A6A">
        <w:rPr>
          <w:rFonts w:ascii="Times New Roman" w:hAnsi="Times New Roman"/>
          <w:sz w:val="20"/>
          <w:lang w:val="uk-UA"/>
        </w:rPr>
        <w:t xml:space="preserve">АЗС Учасника торгів мають знаходитись в радіусі </w:t>
      </w:r>
      <w:r w:rsidRPr="004C4A6A">
        <w:rPr>
          <w:rFonts w:ascii="Times New Roman" w:hAnsi="Times New Roman"/>
          <w:b/>
          <w:sz w:val="20"/>
          <w:lang w:val="uk-UA"/>
        </w:rPr>
        <w:t>не більше</w:t>
      </w:r>
      <w:r w:rsidRPr="004C4A6A">
        <w:rPr>
          <w:rFonts w:ascii="Times New Roman" w:hAnsi="Times New Roman"/>
          <w:sz w:val="20"/>
          <w:lang w:val="uk-UA"/>
        </w:rPr>
        <w:t xml:space="preserve"> </w:t>
      </w:r>
      <w:r w:rsidRPr="004C4A6A">
        <w:rPr>
          <w:rFonts w:ascii="Times New Roman" w:hAnsi="Times New Roman"/>
          <w:b/>
          <w:sz w:val="20"/>
          <w:lang w:val="uk-UA"/>
        </w:rPr>
        <w:t>15 кілометрів</w:t>
      </w:r>
      <w:r w:rsidRPr="004C4A6A">
        <w:rPr>
          <w:rFonts w:ascii="Times New Roman" w:hAnsi="Times New Roman"/>
          <w:sz w:val="20"/>
          <w:lang w:val="uk-UA"/>
        </w:rPr>
        <w:t xml:space="preserve"> від адреси Замовника</w:t>
      </w:r>
      <w:r w:rsidRPr="004C4A6A">
        <w:rPr>
          <w:rFonts w:ascii="Times New Roman" w:hAnsi="Times New Roman"/>
          <w:b/>
          <w:sz w:val="20"/>
          <w:lang w:val="uk-UA"/>
        </w:rPr>
        <w:t>.</w:t>
      </w:r>
      <w:r w:rsidRPr="004C4A6A">
        <w:rPr>
          <w:rFonts w:ascii="Times New Roman" w:hAnsi="Times New Roman"/>
          <w:sz w:val="20"/>
          <w:lang w:val="uk-UA"/>
        </w:rPr>
        <w:t xml:space="preserve">  Оплачений товар фіксується виданими Замовнику талонами або фіксується на карточках, по яких здійснюється щоденна заправка автотранспорту. Оплачений товар зберігається в Учасника і використовується Замовником за необхідності</w:t>
      </w:r>
    </w:p>
    <w:p w:rsidR="001D7D68" w:rsidRPr="00A64B03" w:rsidRDefault="001D7D68" w:rsidP="001D7D68">
      <w:pPr>
        <w:numPr>
          <w:ilvl w:val="0"/>
          <w:numId w:val="3"/>
        </w:numPr>
        <w:tabs>
          <w:tab w:val="center" w:pos="4677"/>
        </w:tabs>
        <w:autoSpaceDN w:val="0"/>
        <w:spacing w:after="200" w:line="276" w:lineRule="auto"/>
        <w:contextualSpacing/>
        <w:jc w:val="both"/>
        <w:rPr>
          <w:rFonts w:ascii="Times New Roman" w:hAnsi="Times New Roman"/>
          <w:b/>
          <w:sz w:val="20"/>
          <w:lang w:val="uk-UA"/>
        </w:rPr>
      </w:pPr>
      <w:r w:rsidRPr="004C4A6A">
        <w:rPr>
          <w:rFonts w:ascii="Times New Roman" w:hAnsi="Times New Roman"/>
          <w:b/>
          <w:sz w:val="20"/>
          <w:lang w:val="uk-UA"/>
        </w:rPr>
        <w:t>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1D7D68" w:rsidRPr="004C4A6A" w:rsidRDefault="001D7D68" w:rsidP="001D7D68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cs="Calibri"/>
          <w:color w:val="000000"/>
          <w:sz w:val="16"/>
          <w:lang w:val="uk-UA" w:eastAsia="uk-UA"/>
        </w:rPr>
      </w:pPr>
      <w:r w:rsidRPr="004C4A6A">
        <w:rPr>
          <w:rFonts w:ascii="Times New Roman" w:eastAsia="Times New Roman" w:hAnsi="Times New Roman"/>
          <w:b/>
          <w:color w:val="000000"/>
          <w:sz w:val="18"/>
          <w:u w:val="single"/>
          <w:lang w:val="uk-UA" w:eastAsia="uk-UA"/>
        </w:rPr>
        <w:t xml:space="preserve">Примітка:  </w:t>
      </w:r>
    </w:p>
    <w:p w:rsidR="001D7D68" w:rsidRPr="004C4A6A" w:rsidRDefault="001D7D68" w:rsidP="001D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2" w:firstLine="360"/>
        <w:jc w:val="both"/>
        <w:rPr>
          <w:rFonts w:cs="Calibri"/>
          <w:color w:val="000000"/>
          <w:sz w:val="16"/>
          <w:lang w:val="uk-UA" w:eastAsia="uk-UA"/>
        </w:rPr>
      </w:pPr>
      <w:r w:rsidRPr="004C4A6A">
        <w:rPr>
          <w:rFonts w:ascii="Times New Roman" w:eastAsia="Times New Roman" w:hAnsi="Times New Roman"/>
          <w:color w:val="000000"/>
          <w:sz w:val="18"/>
          <w:lang w:val="uk-UA" w:eastAsia="uk-UA"/>
        </w:rPr>
        <w:t>Витрати учасника пов’язанні з підготовкою та поданням тендерної пропозиції не відшкодовуються (у тому числі й у разі відміни торгів чи визнання торгів такими, що не відбулися)</w:t>
      </w:r>
    </w:p>
    <w:p w:rsidR="001D7D68" w:rsidRPr="004C4A6A" w:rsidRDefault="001D7D68" w:rsidP="001D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2" w:firstLine="360"/>
        <w:jc w:val="both"/>
        <w:rPr>
          <w:rFonts w:cs="Calibri"/>
          <w:color w:val="000000"/>
          <w:sz w:val="16"/>
          <w:lang w:val="uk-UA" w:eastAsia="uk-UA"/>
        </w:rPr>
      </w:pPr>
      <w:r w:rsidRPr="004C4A6A">
        <w:rPr>
          <w:rFonts w:ascii="Times New Roman" w:eastAsia="Times New Roman" w:hAnsi="Times New Roman"/>
          <w:color w:val="000000"/>
          <w:sz w:val="18"/>
          <w:lang w:val="uk-UA" w:eastAsia="uk-UA"/>
        </w:rPr>
        <w:t>Учасник відповідає за одержання всіх необхідних дозволів, ліцензій, сертифікатів на товари, роботи (послуги), запропоновані на конкурсні торги, та самостійно несе всі витрати на отримання таких дозволів, ліцензій, сертифікатів.</w:t>
      </w:r>
    </w:p>
    <w:p w:rsidR="001D7D68" w:rsidRPr="004C4A6A" w:rsidRDefault="001D7D68" w:rsidP="001D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2" w:firstLine="360"/>
        <w:jc w:val="both"/>
        <w:rPr>
          <w:rFonts w:cs="Calibri"/>
          <w:color w:val="000000"/>
          <w:sz w:val="16"/>
          <w:lang w:val="uk-UA" w:eastAsia="uk-UA"/>
        </w:rPr>
      </w:pPr>
      <w:r w:rsidRPr="004C4A6A">
        <w:rPr>
          <w:rFonts w:ascii="Times New Roman" w:eastAsia="Times New Roman" w:hAnsi="Times New Roman"/>
          <w:color w:val="000000"/>
          <w:sz w:val="18"/>
          <w:lang w:val="uk-UA" w:eastAsia="uk-UA"/>
        </w:rPr>
        <w:t>До ціни пропозиції не включаються витрати, пов’язанні з укладанням договору.</w:t>
      </w:r>
    </w:p>
    <w:p w:rsidR="001D7D68" w:rsidRPr="004C4A6A" w:rsidRDefault="001D7D68" w:rsidP="001D7D68">
      <w:pPr>
        <w:spacing w:after="200" w:line="276" w:lineRule="auto"/>
        <w:jc w:val="both"/>
        <w:rPr>
          <w:rFonts w:ascii="Times New Roman" w:eastAsia="Times New Roman" w:hAnsi="Times New Roman"/>
          <w:i/>
          <w:sz w:val="18"/>
          <w:shd w:val="clear" w:color="auto" w:fill="FFFFFF"/>
          <w:lang w:val="uk-UA" w:eastAsia="uk-UA"/>
        </w:rPr>
      </w:pPr>
      <w:r w:rsidRPr="004C4A6A">
        <w:rPr>
          <w:rFonts w:ascii="Times New Roman" w:eastAsia="Times New Roman" w:hAnsi="Times New Roman"/>
          <w:color w:val="000000"/>
          <w:sz w:val="18"/>
          <w:lang w:val="uk-UA" w:eastAsia="uk-UA"/>
        </w:rPr>
        <w:t xml:space="preserve">Кожен учасник </w:t>
      </w:r>
      <w:r>
        <w:rPr>
          <w:rFonts w:ascii="Times New Roman" w:eastAsia="Times New Roman" w:hAnsi="Times New Roman"/>
          <w:color w:val="000000"/>
          <w:sz w:val="18"/>
          <w:lang w:val="uk-UA" w:eastAsia="uk-UA"/>
        </w:rPr>
        <w:t>може подати лише одну пропозицію</w:t>
      </w:r>
    </w:p>
    <w:p w:rsidR="00265D4A" w:rsidRPr="00872131" w:rsidRDefault="00265D4A">
      <w:pPr>
        <w:rPr>
          <w:lang w:val="uk-UA"/>
        </w:rPr>
      </w:pPr>
    </w:p>
    <w:sectPr w:rsidR="00265D4A" w:rsidRPr="00872131" w:rsidSect="001D7D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D7D"/>
    <w:multiLevelType w:val="hybridMultilevel"/>
    <w:tmpl w:val="F858EF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64799"/>
    <w:multiLevelType w:val="hybridMultilevel"/>
    <w:tmpl w:val="84448572"/>
    <w:lvl w:ilvl="0" w:tplc="D65AE9F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31922"/>
    <w:multiLevelType w:val="hybridMultilevel"/>
    <w:tmpl w:val="11D8EDEC"/>
    <w:lvl w:ilvl="0" w:tplc="399A3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A"/>
    <w:rsid w:val="0008797B"/>
    <w:rsid w:val="001D7D68"/>
    <w:rsid w:val="00265D4A"/>
    <w:rsid w:val="002E04B8"/>
    <w:rsid w:val="00392DAE"/>
    <w:rsid w:val="00421005"/>
    <w:rsid w:val="006A5404"/>
    <w:rsid w:val="006D21B4"/>
    <w:rsid w:val="007C628A"/>
    <w:rsid w:val="00847FD0"/>
    <w:rsid w:val="00872131"/>
    <w:rsid w:val="00AB7DF9"/>
    <w:rsid w:val="00BC2E63"/>
    <w:rsid w:val="00DD0D84"/>
    <w:rsid w:val="00E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3F9"/>
  <w15:docId w15:val="{697A965A-2A8A-4AE4-8D22-D64EA07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31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7D68"/>
    <w:pPr>
      <w:keepNext/>
      <w:jc w:val="right"/>
      <w:outlineLvl w:val="1"/>
    </w:pPr>
    <w:rPr>
      <w:rFonts w:ascii="Times New Roman" w:hAnsi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7D68"/>
    <w:rPr>
      <w:rFonts w:ascii="Times New Roman" w:eastAsia="Calibri" w:hAnsi="Times New Roman" w:cs="Times New Roman"/>
      <w:b/>
      <w:bCs/>
      <w:szCs w:val="24"/>
      <w:lang w:val="uk-UA"/>
    </w:rPr>
  </w:style>
  <w:style w:type="paragraph" w:styleId="a4">
    <w:name w:val="annotation text"/>
    <w:basedOn w:val="a"/>
    <w:link w:val="a5"/>
    <w:uiPriority w:val="99"/>
    <w:unhideWhenUsed/>
    <w:rsid w:val="001D7D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D7D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353-6772-4E0A-B058-96A9561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2023-03-06T13:48:00Z</dcterms:created>
  <dcterms:modified xsi:type="dcterms:W3CDTF">2023-09-14T06:11:00Z</dcterms:modified>
</cp:coreProperties>
</file>