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42" w:rsidRPr="00001142" w:rsidRDefault="00001142" w:rsidP="00001142">
      <w:pPr>
        <w:jc w:val="center"/>
        <w:rPr>
          <w:b/>
        </w:rPr>
      </w:pPr>
      <w:r w:rsidRPr="00001142">
        <w:rPr>
          <w:b/>
        </w:rPr>
        <w:t>Технічні, якісні та кількісні характеристики предмета закупівлі</w:t>
      </w:r>
    </w:p>
    <w:p w:rsidR="00001142" w:rsidRPr="00001142" w:rsidRDefault="00001142" w:rsidP="00001142">
      <w:pPr>
        <w:pStyle w:val="aa"/>
        <w:widowControl w:val="0"/>
        <w:shd w:val="clear" w:color="auto" w:fill="FFFFFF"/>
        <w:spacing w:before="0" w:beforeAutospacing="0" w:after="0" w:afterAutospacing="0"/>
        <w:jc w:val="center"/>
        <w:rPr>
          <w:b/>
          <w:sz w:val="32"/>
          <w:szCs w:val="32"/>
        </w:rPr>
      </w:pPr>
      <w:r w:rsidRPr="00001142">
        <w:rPr>
          <w:b/>
          <w:sz w:val="32"/>
          <w:szCs w:val="32"/>
          <w:bdr w:val="none" w:sz="0" w:space="0" w:color="auto" w:frame="1"/>
        </w:rPr>
        <w:t xml:space="preserve">за </w:t>
      </w:r>
      <w:r w:rsidRPr="00001142">
        <w:rPr>
          <w:b/>
          <w:sz w:val="32"/>
          <w:szCs w:val="32"/>
        </w:rPr>
        <w:t xml:space="preserve">ДК 021:2015: 09130000-9 Нафта і дистиляти </w:t>
      </w:r>
    </w:p>
    <w:p w:rsidR="00001142" w:rsidRPr="00001142" w:rsidRDefault="00001142" w:rsidP="00001142">
      <w:pPr>
        <w:pStyle w:val="aa"/>
        <w:widowControl w:val="0"/>
        <w:shd w:val="clear" w:color="auto" w:fill="FFFFFF"/>
        <w:spacing w:before="0" w:beforeAutospacing="0" w:after="0" w:afterAutospacing="0"/>
        <w:jc w:val="center"/>
        <w:rPr>
          <w:b/>
          <w:i/>
          <w:u w:val="single"/>
        </w:rPr>
      </w:pPr>
      <w:r w:rsidRPr="00001142">
        <w:rPr>
          <w:b/>
          <w:i/>
          <w:u w:val="single"/>
        </w:rPr>
        <w:t>(Дизельне паливо наливом, Дизельне паливо та бензин А-95 (талони))</w:t>
      </w:r>
    </w:p>
    <w:p w:rsidR="00001142" w:rsidRPr="00001142" w:rsidRDefault="00001142" w:rsidP="00001142">
      <w:pPr>
        <w:jc w:val="center"/>
        <w:rPr>
          <w:b/>
        </w:rPr>
      </w:pPr>
    </w:p>
    <w:tbl>
      <w:tblPr>
        <w:tblW w:w="10814" w:type="dxa"/>
        <w:tblInd w:w="-11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
        <w:gridCol w:w="5681"/>
        <w:gridCol w:w="2159"/>
        <w:gridCol w:w="2382"/>
      </w:tblGrid>
      <w:tr w:rsidR="00001142" w:rsidRPr="00001142" w:rsidTr="00001142">
        <w:trPr>
          <w:trHeight w:val="348"/>
        </w:trPr>
        <w:tc>
          <w:tcPr>
            <w:tcW w:w="592" w:type="dxa"/>
            <w:tcBorders>
              <w:top w:val="single" w:sz="6" w:space="0" w:color="auto"/>
              <w:left w:val="single" w:sz="6" w:space="0" w:color="auto"/>
              <w:bottom w:val="single" w:sz="6" w:space="0" w:color="auto"/>
              <w:right w:val="single" w:sz="4" w:space="0" w:color="auto"/>
            </w:tcBorders>
          </w:tcPr>
          <w:p w:rsidR="00001142" w:rsidRPr="00001142" w:rsidRDefault="00001142" w:rsidP="00001142">
            <w:r w:rsidRPr="00001142">
              <w:t>№ п/п</w:t>
            </w:r>
          </w:p>
        </w:tc>
        <w:tc>
          <w:tcPr>
            <w:tcW w:w="5681" w:type="dxa"/>
            <w:tcBorders>
              <w:top w:val="single" w:sz="6" w:space="0" w:color="auto"/>
              <w:left w:val="single" w:sz="4" w:space="0" w:color="auto"/>
              <w:bottom w:val="single" w:sz="6" w:space="0" w:color="auto"/>
              <w:right w:val="single" w:sz="6" w:space="0" w:color="auto"/>
            </w:tcBorders>
          </w:tcPr>
          <w:p w:rsidR="00001142" w:rsidRPr="00001142" w:rsidRDefault="00001142" w:rsidP="00001142">
            <w:pPr>
              <w:jc w:val="center"/>
              <w:rPr>
                <w:b/>
              </w:rPr>
            </w:pPr>
            <w:r w:rsidRPr="00001142">
              <w:rPr>
                <w:b/>
              </w:rPr>
              <w:t>Найменування товару</w:t>
            </w:r>
          </w:p>
          <w:p w:rsidR="00001142" w:rsidRPr="00001142" w:rsidRDefault="00001142" w:rsidP="00001142">
            <w:pPr>
              <w:rPr>
                <w:b/>
              </w:rPr>
            </w:pPr>
          </w:p>
        </w:tc>
        <w:tc>
          <w:tcPr>
            <w:tcW w:w="2159" w:type="dxa"/>
            <w:tcBorders>
              <w:top w:val="single" w:sz="6" w:space="0" w:color="auto"/>
              <w:left w:val="single" w:sz="4" w:space="0" w:color="auto"/>
              <w:bottom w:val="single" w:sz="6" w:space="0" w:color="auto"/>
              <w:right w:val="single" w:sz="6" w:space="0" w:color="auto"/>
            </w:tcBorders>
          </w:tcPr>
          <w:p w:rsidR="00001142" w:rsidRPr="00001142" w:rsidRDefault="00001142" w:rsidP="00001142">
            <w:pPr>
              <w:rPr>
                <w:b/>
              </w:rPr>
            </w:pPr>
            <w:r w:rsidRPr="00001142">
              <w:rPr>
                <w:b/>
              </w:rPr>
              <w:t>Од. виміру</w:t>
            </w:r>
          </w:p>
        </w:tc>
        <w:tc>
          <w:tcPr>
            <w:tcW w:w="2382" w:type="dxa"/>
            <w:tcBorders>
              <w:top w:val="single" w:sz="6" w:space="0" w:color="auto"/>
              <w:left w:val="single" w:sz="6" w:space="0" w:color="auto"/>
              <w:bottom w:val="single" w:sz="6" w:space="0" w:color="auto"/>
              <w:right w:val="single" w:sz="6" w:space="0" w:color="auto"/>
            </w:tcBorders>
          </w:tcPr>
          <w:p w:rsidR="00001142" w:rsidRPr="00001142" w:rsidRDefault="00001142" w:rsidP="00001142">
            <w:pPr>
              <w:rPr>
                <w:b/>
              </w:rPr>
            </w:pPr>
            <w:r w:rsidRPr="00001142">
              <w:rPr>
                <w:b/>
              </w:rPr>
              <w:t>Кількість</w:t>
            </w:r>
          </w:p>
        </w:tc>
      </w:tr>
      <w:tr w:rsidR="00001142" w:rsidRPr="00001142" w:rsidTr="00001142">
        <w:trPr>
          <w:trHeight w:val="348"/>
        </w:trPr>
        <w:tc>
          <w:tcPr>
            <w:tcW w:w="592" w:type="dxa"/>
            <w:tcBorders>
              <w:top w:val="single" w:sz="6" w:space="0" w:color="auto"/>
              <w:left w:val="single" w:sz="6" w:space="0" w:color="auto"/>
              <w:bottom w:val="single" w:sz="6" w:space="0" w:color="auto"/>
              <w:right w:val="single" w:sz="4" w:space="0" w:color="auto"/>
            </w:tcBorders>
          </w:tcPr>
          <w:p w:rsidR="00001142" w:rsidRPr="00001142" w:rsidRDefault="00001142" w:rsidP="00001142">
            <w:r>
              <w:t>1.</w:t>
            </w:r>
          </w:p>
        </w:tc>
        <w:tc>
          <w:tcPr>
            <w:tcW w:w="5681" w:type="dxa"/>
            <w:tcBorders>
              <w:top w:val="single" w:sz="6" w:space="0" w:color="auto"/>
              <w:left w:val="single" w:sz="4" w:space="0" w:color="auto"/>
              <w:bottom w:val="single" w:sz="6" w:space="0" w:color="auto"/>
              <w:right w:val="single" w:sz="6" w:space="0" w:color="auto"/>
            </w:tcBorders>
          </w:tcPr>
          <w:p w:rsidR="00001142" w:rsidRPr="00001142" w:rsidRDefault="00001142" w:rsidP="00001142">
            <w:r>
              <w:t xml:space="preserve">Дизельне паливо </w:t>
            </w:r>
            <w:r w:rsidRPr="00001142">
              <w:t>Євро</w:t>
            </w:r>
            <w:r>
              <w:t xml:space="preserve"> </w:t>
            </w:r>
            <w:r w:rsidRPr="00001142">
              <w:t>5</w:t>
            </w:r>
            <w:r>
              <w:t xml:space="preserve"> наливом</w:t>
            </w:r>
          </w:p>
        </w:tc>
        <w:tc>
          <w:tcPr>
            <w:tcW w:w="2159" w:type="dxa"/>
            <w:tcBorders>
              <w:top w:val="single" w:sz="6" w:space="0" w:color="auto"/>
              <w:left w:val="single" w:sz="4" w:space="0" w:color="auto"/>
              <w:bottom w:val="single" w:sz="6" w:space="0" w:color="auto"/>
              <w:right w:val="single" w:sz="6" w:space="0" w:color="auto"/>
            </w:tcBorders>
          </w:tcPr>
          <w:p w:rsidR="00001142" w:rsidRPr="00001142" w:rsidRDefault="00001142" w:rsidP="00001142">
            <w:r>
              <w:t>літр</w:t>
            </w:r>
          </w:p>
        </w:tc>
        <w:tc>
          <w:tcPr>
            <w:tcW w:w="2382" w:type="dxa"/>
            <w:tcBorders>
              <w:top w:val="single" w:sz="6" w:space="0" w:color="auto"/>
              <w:left w:val="single" w:sz="6" w:space="0" w:color="auto"/>
              <w:bottom w:val="single" w:sz="6" w:space="0" w:color="auto"/>
              <w:right w:val="single" w:sz="6" w:space="0" w:color="auto"/>
            </w:tcBorders>
            <w:vAlign w:val="center"/>
          </w:tcPr>
          <w:p w:rsidR="00001142" w:rsidRPr="00001142" w:rsidRDefault="00001142" w:rsidP="00001142">
            <w:r>
              <w:t>220 000</w:t>
            </w:r>
          </w:p>
        </w:tc>
      </w:tr>
      <w:tr w:rsidR="00001142" w:rsidRPr="00001142" w:rsidTr="00001142">
        <w:trPr>
          <w:trHeight w:val="339"/>
        </w:trPr>
        <w:tc>
          <w:tcPr>
            <w:tcW w:w="592" w:type="dxa"/>
            <w:tcBorders>
              <w:top w:val="single" w:sz="6" w:space="0" w:color="auto"/>
              <w:left w:val="single" w:sz="6" w:space="0" w:color="auto"/>
              <w:bottom w:val="single" w:sz="6" w:space="0" w:color="auto"/>
              <w:right w:val="single" w:sz="4" w:space="0" w:color="auto"/>
            </w:tcBorders>
          </w:tcPr>
          <w:p w:rsidR="00001142" w:rsidRPr="00001142" w:rsidRDefault="00001142" w:rsidP="00001142">
            <w:r>
              <w:t>2.</w:t>
            </w:r>
          </w:p>
        </w:tc>
        <w:tc>
          <w:tcPr>
            <w:tcW w:w="5681" w:type="dxa"/>
            <w:tcBorders>
              <w:top w:val="single" w:sz="6" w:space="0" w:color="auto"/>
              <w:left w:val="single" w:sz="4" w:space="0" w:color="auto"/>
              <w:bottom w:val="single" w:sz="6" w:space="0" w:color="auto"/>
              <w:right w:val="single" w:sz="6" w:space="0" w:color="auto"/>
            </w:tcBorders>
          </w:tcPr>
          <w:p w:rsidR="00001142" w:rsidRPr="00001142" w:rsidRDefault="00001142" w:rsidP="00001142">
            <w:r>
              <w:t xml:space="preserve">Дизельне паливо </w:t>
            </w:r>
            <w:r w:rsidRPr="00001142">
              <w:t>Євро</w:t>
            </w:r>
            <w:r>
              <w:t xml:space="preserve"> </w:t>
            </w:r>
            <w:r w:rsidRPr="00001142">
              <w:t>5</w:t>
            </w:r>
            <w:r>
              <w:t xml:space="preserve"> талони</w:t>
            </w:r>
          </w:p>
        </w:tc>
        <w:tc>
          <w:tcPr>
            <w:tcW w:w="2159" w:type="dxa"/>
            <w:tcBorders>
              <w:top w:val="single" w:sz="6" w:space="0" w:color="auto"/>
              <w:left w:val="single" w:sz="4" w:space="0" w:color="auto"/>
              <w:bottom w:val="single" w:sz="6" w:space="0" w:color="auto"/>
              <w:right w:val="single" w:sz="6" w:space="0" w:color="auto"/>
            </w:tcBorders>
          </w:tcPr>
          <w:p w:rsidR="00001142" w:rsidRPr="00001142" w:rsidRDefault="00001142" w:rsidP="00001142">
            <w:r>
              <w:t>літр</w:t>
            </w:r>
          </w:p>
        </w:tc>
        <w:tc>
          <w:tcPr>
            <w:tcW w:w="2382" w:type="dxa"/>
            <w:tcBorders>
              <w:top w:val="single" w:sz="6" w:space="0" w:color="auto"/>
              <w:left w:val="single" w:sz="6" w:space="0" w:color="auto"/>
              <w:bottom w:val="single" w:sz="6" w:space="0" w:color="auto"/>
              <w:right w:val="single" w:sz="6" w:space="0" w:color="auto"/>
            </w:tcBorders>
            <w:vAlign w:val="center"/>
          </w:tcPr>
          <w:p w:rsidR="00001142" w:rsidRPr="00001142" w:rsidRDefault="00001142" w:rsidP="00001142">
            <w:r>
              <w:t>15 000</w:t>
            </w:r>
          </w:p>
        </w:tc>
      </w:tr>
      <w:tr w:rsidR="00001142" w:rsidRPr="00001142" w:rsidTr="00001142">
        <w:trPr>
          <w:trHeight w:val="339"/>
        </w:trPr>
        <w:tc>
          <w:tcPr>
            <w:tcW w:w="592" w:type="dxa"/>
            <w:tcBorders>
              <w:top w:val="single" w:sz="6" w:space="0" w:color="auto"/>
              <w:left w:val="single" w:sz="6" w:space="0" w:color="auto"/>
              <w:bottom w:val="single" w:sz="6" w:space="0" w:color="auto"/>
              <w:right w:val="single" w:sz="4" w:space="0" w:color="auto"/>
            </w:tcBorders>
          </w:tcPr>
          <w:p w:rsidR="00001142" w:rsidRPr="00001142" w:rsidRDefault="00001142" w:rsidP="00001142">
            <w:r>
              <w:t>3.</w:t>
            </w:r>
          </w:p>
        </w:tc>
        <w:tc>
          <w:tcPr>
            <w:tcW w:w="5681" w:type="dxa"/>
            <w:tcBorders>
              <w:top w:val="single" w:sz="6" w:space="0" w:color="auto"/>
              <w:left w:val="single" w:sz="4" w:space="0" w:color="auto"/>
              <w:bottom w:val="single" w:sz="6" w:space="0" w:color="auto"/>
              <w:right w:val="single" w:sz="6" w:space="0" w:color="auto"/>
            </w:tcBorders>
          </w:tcPr>
          <w:p w:rsidR="00001142" w:rsidRPr="00001142" w:rsidRDefault="00001142" w:rsidP="00001142">
            <w:bookmarkStart w:id="0" w:name="_GoBack"/>
            <w:r>
              <w:t>Бензин А-95 талони</w:t>
            </w:r>
            <w:bookmarkEnd w:id="0"/>
          </w:p>
        </w:tc>
        <w:tc>
          <w:tcPr>
            <w:tcW w:w="2159" w:type="dxa"/>
            <w:tcBorders>
              <w:top w:val="single" w:sz="6" w:space="0" w:color="auto"/>
              <w:left w:val="single" w:sz="4" w:space="0" w:color="auto"/>
              <w:bottom w:val="single" w:sz="6" w:space="0" w:color="auto"/>
              <w:right w:val="single" w:sz="6" w:space="0" w:color="auto"/>
            </w:tcBorders>
          </w:tcPr>
          <w:p w:rsidR="00001142" w:rsidRPr="00001142" w:rsidRDefault="00001142" w:rsidP="00001142">
            <w:r>
              <w:t>літр</w:t>
            </w:r>
          </w:p>
        </w:tc>
        <w:tc>
          <w:tcPr>
            <w:tcW w:w="2382" w:type="dxa"/>
            <w:tcBorders>
              <w:top w:val="single" w:sz="6" w:space="0" w:color="auto"/>
              <w:left w:val="single" w:sz="6" w:space="0" w:color="auto"/>
              <w:bottom w:val="single" w:sz="6" w:space="0" w:color="auto"/>
              <w:right w:val="single" w:sz="6" w:space="0" w:color="auto"/>
            </w:tcBorders>
            <w:vAlign w:val="center"/>
          </w:tcPr>
          <w:p w:rsidR="00001142" w:rsidRPr="00001142" w:rsidRDefault="00001142" w:rsidP="00001142">
            <w:r>
              <w:t>15 000</w:t>
            </w:r>
          </w:p>
        </w:tc>
      </w:tr>
    </w:tbl>
    <w:p w:rsidR="00001142" w:rsidRDefault="00001142" w:rsidP="00001142"/>
    <w:p w:rsidR="00001142" w:rsidRPr="00001142" w:rsidRDefault="00001142" w:rsidP="00001142">
      <w:pPr>
        <w:jc w:val="both"/>
      </w:pPr>
      <w:r w:rsidRPr="00001142">
        <w:t>1. Якість Бензину А-95 повинна відповідати вимогам</w:t>
      </w:r>
      <w:r>
        <w:t xml:space="preserve"> </w:t>
      </w:r>
      <w:r w:rsidRPr="00001142">
        <w:t xml:space="preserve">згідно ДСТУ 7687:2015 та/або EN 590, що обов’язково повинно бути підтверджено Учасником сертифікатами </w:t>
      </w:r>
      <w:proofErr w:type="spellStart"/>
      <w:r w:rsidRPr="00001142">
        <w:t>відповідностіта</w:t>
      </w:r>
      <w:proofErr w:type="spellEnd"/>
      <w:r w:rsidRPr="00001142">
        <w:t xml:space="preserve">/або сертифікатом якості та/або паспортами якості. </w:t>
      </w:r>
    </w:p>
    <w:p w:rsidR="00001142" w:rsidRPr="00001142" w:rsidRDefault="00001142" w:rsidP="00001142">
      <w:pPr>
        <w:jc w:val="both"/>
      </w:pPr>
      <w:r w:rsidRPr="00001142">
        <w:t xml:space="preserve">Якість дизельного пального Євро5 </w:t>
      </w:r>
      <w:r w:rsidR="008D50F0">
        <w:t>п</w:t>
      </w:r>
      <w:r w:rsidRPr="00001142">
        <w:t>овинна відповідати вимогам  згідно ДСТУ 7688:2015 та/або EN 590, що обов’язково повинно бути підтверджено Учасником сертифікатами відповідності та/або сертифікатом якості та/або паспортами якості.</w:t>
      </w:r>
    </w:p>
    <w:p w:rsidR="00001142" w:rsidRPr="00001142" w:rsidRDefault="00001142" w:rsidP="00001142"/>
    <w:p w:rsidR="00001142" w:rsidRPr="00001142" w:rsidRDefault="00001142" w:rsidP="00001142">
      <w:pPr>
        <w:jc w:val="both"/>
      </w:pPr>
      <w:r>
        <w:t>2.</w:t>
      </w:r>
      <w:r w:rsidRPr="00001142">
        <w:t xml:space="preserve"> Нафтопродукти, які виробляє/імпортує Учасник, є таким, що не мають негативного впливу на навколишнє довкілля, та передбачає застосування необхідних заходів із захисту довкілля (Довідка у довільній формі).</w:t>
      </w:r>
    </w:p>
    <w:p w:rsidR="00001142" w:rsidRPr="00001142" w:rsidRDefault="00001142" w:rsidP="00001142"/>
    <w:p w:rsidR="00001142" w:rsidRPr="00001142" w:rsidRDefault="00001142" w:rsidP="00001142">
      <w:pPr>
        <w:jc w:val="both"/>
      </w:pPr>
      <w:r w:rsidRPr="00001142">
        <w:t>Особливі вимоги:</w:t>
      </w:r>
    </w:p>
    <w:p w:rsidR="00001142" w:rsidRPr="00001142" w:rsidRDefault="00001142" w:rsidP="00001142">
      <w:pPr>
        <w:jc w:val="both"/>
      </w:pPr>
      <w:r w:rsidRPr="00001142">
        <w:t>- гарантована якість продукції;</w:t>
      </w:r>
    </w:p>
    <w:p w:rsidR="00001142" w:rsidRPr="00001142" w:rsidRDefault="00001142" w:rsidP="00001142">
      <w:pPr>
        <w:jc w:val="both"/>
      </w:pPr>
      <w:r w:rsidRPr="00001142">
        <w:t>- ціна вказується з урахуванням доставки;</w:t>
      </w:r>
    </w:p>
    <w:p w:rsidR="00001142" w:rsidRPr="00001142" w:rsidRDefault="00001142" w:rsidP="00001142">
      <w:pPr>
        <w:jc w:val="both"/>
      </w:pPr>
      <w:r w:rsidRPr="00001142">
        <w:t xml:space="preserve">- учасник повинен забезпечити поставку замовленого товару власним(ми) або орендованим (ми) транспортом протягом 5-ти календарних  днів з моменту отримання заявки від Замовника за </w:t>
      </w:r>
      <w:proofErr w:type="spellStart"/>
      <w:r w:rsidRPr="00001142">
        <w:t>адресою</w:t>
      </w:r>
      <w:proofErr w:type="spellEnd"/>
      <w:r w:rsidRPr="00001142">
        <w:t xml:space="preserve"> Замовника.</w:t>
      </w:r>
    </w:p>
    <w:p w:rsidR="00001142" w:rsidRPr="00001142" w:rsidRDefault="00001142" w:rsidP="00001142">
      <w:pPr>
        <w:jc w:val="both"/>
      </w:pPr>
      <w:r w:rsidRPr="00001142">
        <w:t>1) У разі, якщо бензовози власні, учасник повинен надати у складі пропозиції свідоцтва про реєстрацію транспортних засо</w:t>
      </w:r>
      <w:r>
        <w:t>бів, виданого на ім’я Учасника.</w:t>
      </w:r>
    </w:p>
    <w:p w:rsidR="00001142" w:rsidRPr="00001142" w:rsidRDefault="00001142" w:rsidP="00001142">
      <w:pPr>
        <w:jc w:val="both"/>
      </w:pPr>
      <w:r w:rsidRPr="00001142">
        <w:t>2) У разі якщо бензовози орендовані (лізинг), надати у складі пропозиції документ, що підтверджує право оренди (лізингу) транспортних засобів.</w:t>
      </w:r>
    </w:p>
    <w:p w:rsidR="00001142" w:rsidRPr="00001142" w:rsidRDefault="00001142" w:rsidP="00001142">
      <w:pPr>
        <w:jc w:val="both"/>
      </w:pPr>
      <w:r w:rsidRPr="00001142">
        <w:t>- Учасник повинен мати склад паливо-мастильних матеріалів (нафтобазу). У складі пропозиції Учасник має надати опис складу паливо-мастильних матеріалів (нафтобази) з зазначенням адреси знаходження складу (нафтобази) та документ, який посвідчує право власності або право господарського відання, у разі оренди- чинний договір оренди на склад (нафтобазу), у разі зберігання нафтопродуктів – чинний договір зберігання.</w:t>
      </w:r>
    </w:p>
    <w:p w:rsidR="00001142" w:rsidRPr="00001142" w:rsidRDefault="00001142" w:rsidP="00001142"/>
    <w:p w:rsidR="00001142" w:rsidRPr="00001142" w:rsidRDefault="00001142" w:rsidP="00001142">
      <w:pPr>
        <w:jc w:val="both"/>
      </w:pPr>
      <w:r>
        <w:t>3</w:t>
      </w:r>
      <w:r w:rsidRPr="00001142">
        <w:t xml:space="preserve">. Учасник повинен надати договори на постачання паливо-мастильних матеріалів з виробниками або з іноземними постачальниками, дійсними на момент розкриття тендерних пропозицій та гарантійний лист (повідомлення тощо) від виробника або іноземного постачальника щодо постачання палива, яке є предметом закупівлі, протягом 2024 </w:t>
      </w:r>
      <w:r w:rsidR="0095556A">
        <w:t xml:space="preserve">-2025 </w:t>
      </w:r>
      <w:r w:rsidRPr="00001142">
        <w:t>року.</w:t>
      </w:r>
    </w:p>
    <w:p w:rsidR="00001142" w:rsidRPr="00001142" w:rsidRDefault="00001142" w:rsidP="00001142"/>
    <w:p w:rsidR="00001142" w:rsidRPr="00001142" w:rsidRDefault="00001142" w:rsidP="00001142">
      <w:pPr>
        <w:jc w:val="both"/>
      </w:pPr>
      <w:r>
        <w:t>4</w:t>
      </w:r>
      <w:r w:rsidRPr="00001142">
        <w:t>. Учасник (переможець, постачальник) зобов’язаний надати уповноваженого представника на момент прийому товару. Враховуючи специфіку предмету закупівлі, уповноважений представник повинен мати діюче посвідчення з питань охорони праці.</w:t>
      </w:r>
    </w:p>
    <w:p w:rsidR="00001142" w:rsidRPr="00001142" w:rsidRDefault="00001142" w:rsidP="00001142">
      <w:pPr>
        <w:jc w:val="both"/>
      </w:pPr>
      <w:r w:rsidRPr="00001142">
        <w:tab/>
        <w:t>Для підтвердження повноважень представника (</w:t>
      </w:r>
      <w:proofErr w:type="spellStart"/>
      <w:r w:rsidRPr="00001142">
        <w:t>ків</w:t>
      </w:r>
      <w:proofErr w:type="spellEnd"/>
      <w:r w:rsidRPr="00001142">
        <w:t xml:space="preserve">) необхідно у складі Тендерної пропозиції надати лист, де вказати уповноважених представників, а також надати дійсне посвідчення з питань охорони праці.  </w:t>
      </w:r>
    </w:p>
    <w:p w:rsidR="00001142" w:rsidRDefault="00001142" w:rsidP="006A1FB8">
      <w:pPr>
        <w:jc w:val="both"/>
      </w:pPr>
    </w:p>
    <w:p w:rsidR="00001142" w:rsidRPr="00001142" w:rsidRDefault="00001142" w:rsidP="006A1FB8">
      <w:pPr>
        <w:jc w:val="both"/>
      </w:pPr>
      <w:r>
        <w:lastRenderedPageBreak/>
        <w:t>5</w:t>
      </w:r>
      <w:r w:rsidRPr="00001142">
        <w:t xml:space="preserve">. Талони повинні бути номіналом  5л, 10л, 15л, 20 літрів. Термін дії талонів повинен складати не менше 12 місяців з моменту їх отримання Замовником. У разі зміни зовнішньої форми талонів Учасник здійснює їх обмін  без додаткової оплати Замовником. </w:t>
      </w:r>
    </w:p>
    <w:p w:rsidR="00001142" w:rsidRPr="00001142" w:rsidRDefault="00001142" w:rsidP="006A1FB8">
      <w:pPr>
        <w:jc w:val="both"/>
      </w:pPr>
      <w:r w:rsidRPr="00001142">
        <w:t xml:space="preserve">               Талони повинні мати елементи захисту (голографічне зображення/водяний знак/захисна стрічка/тощо). </w:t>
      </w:r>
    </w:p>
    <w:p w:rsidR="00001142" w:rsidRPr="00001142" w:rsidRDefault="00001142" w:rsidP="006A1FB8">
      <w:pPr>
        <w:jc w:val="both"/>
      </w:pPr>
      <w:r w:rsidRPr="00001142">
        <w:t xml:space="preserve">               Талони повинні розповсюджуватися по всій території України (не обмежені в отриманні територіально конкретним регіоном).</w:t>
      </w:r>
    </w:p>
    <w:p w:rsidR="00001142" w:rsidRPr="00001142" w:rsidRDefault="00001142" w:rsidP="006A1FB8">
      <w:pPr>
        <w:jc w:val="both"/>
      </w:pPr>
    </w:p>
    <w:p w:rsidR="00001142" w:rsidRPr="00001142" w:rsidRDefault="00001142" w:rsidP="006A1FB8">
      <w:pPr>
        <w:jc w:val="both"/>
      </w:pPr>
      <w:r>
        <w:t>6</w:t>
      </w:r>
      <w:r w:rsidRPr="00001142">
        <w:t>. Учасник повинен бути емітентом талонів. У разі, якщо Учасник є партнером власника (емітента) товару (талонів на пальне), що закуповується замовником, у складі тендерної пропозиції Учасником надається оригінал листа від власника (емітента) товару (талонів на пальне) з накладеним ЕЦП/КЕП, який за своїм змістом засвідчує право Учасника здійснювати реалізацію товару (талонів на пальне) стороннім організаціям.</w:t>
      </w:r>
    </w:p>
    <w:p w:rsidR="00001142" w:rsidRPr="00001142" w:rsidRDefault="00001142" w:rsidP="006A1FB8">
      <w:pPr>
        <w:jc w:val="both"/>
      </w:pPr>
    </w:p>
    <w:p w:rsidR="00001142" w:rsidRPr="00001142" w:rsidRDefault="00001142" w:rsidP="006A1FB8">
      <w:pPr>
        <w:jc w:val="both"/>
      </w:pPr>
      <w:r>
        <w:t>7</w:t>
      </w:r>
      <w:r w:rsidRPr="00001142">
        <w:t>.Учасник у складі пропозиції повинен надати зразок талонів по кожному номіналу на кожний вид палива.</w:t>
      </w:r>
    </w:p>
    <w:p w:rsidR="00001142" w:rsidRPr="00001142" w:rsidRDefault="00001142" w:rsidP="006A1FB8">
      <w:pPr>
        <w:jc w:val="both"/>
      </w:pPr>
    </w:p>
    <w:p w:rsidR="00001142" w:rsidRPr="00001142" w:rsidRDefault="00001142" w:rsidP="006A1FB8">
      <w:pPr>
        <w:jc w:val="both"/>
      </w:pPr>
      <w:r>
        <w:t>8</w:t>
      </w:r>
      <w:r w:rsidRPr="00001142">
        <w:t>. Учасник повинен надати документ, що підтверджує право використання торгової марки (знаку), під якою випускаються талони.</w:t>
      </w:r>
    </w:p>
    <w:p w:rsidR="00001142" w:rsidRPr="00001142" w:rsidRDefault="00001142" w:rsidP="006A1FB8">
      <w:pPr>
        <w:jc w:val="both"/>
      </w:pPr>
    </w:p>
    <w:p w:rsidR="00001142" w:rsidRPr="00001142" w:rsidRDefault="00001142" w:rsidP="006A1FB8">
      <w:pPr>
        <w:jc w:val="both"/>
      </w:pPr>
      <w:r>
        <w:t>9</w:t>
      </w:r>
      <w:r w:rsidRPr="00001142">
        <w:t>. Учасник повинен мати власний веб-сайт та на підтвердження зазначеної вимоги учасник надає у складі тендерної пропозиції довідку довільної форми з зазначенням сайту.</w:t>
      </w:r>
    </w:p>
    <w:p w:rsidR="00001142" w:rsidRPr="00001142" w:rsidRDefault="00001142" w:rsidP="006A1FB8">
      <w:pPr>
        <w:jc w:val="both"/>
      </w:pPr>
    </w:p>
    <w:p w:rsidR="00001142" w:rsidRPr="00001142" w:rsidRDefault="00001142" w:rsidP="006A1FB8">
      <w:pPr>
        <w:jc w:val="both"/>
      </w:pPr>
      <w:r w:rsidRPr="00001142">
        <w:t>1</w:t>
      </w:r>
      <w:r>
        <w:t>0</w:t>
      </w:r>
      <w:r w:rsidRPr="00001142">
        <w:t>. Учасник повинен забезпечити відпуск палива за допомогою талонів в розгалуженій мережі АЗС по всій території України,  за виключенням тимчасово окупованих територій. На підтвердження зазначеної вимоги Учасник повинен надати не менше 3 АЗС в кожній області України, за виключенням тимчасово окупованих територій. Обслуговування на всіх АЗС має проводитися талонами одного взірця.</w:t>
      </w:r>
    </w:p>
    <w:p w:rsidR="00001142" w:rsidRPr="00001142" w:rsidRDefault="00001142" w:rsidP="006A1FB8">
      <w:pPr>
        <w:jc w:val="both"/>
      </w:pPr>
    </w:p>
    <w:p w:rsidR="00001142" w:rsidRDefault="00962383" w:rsidP="006A1FB8">
      <w:pPr>
        <w:jc w:val="both"/>
      </w:pPr>
      <w:r>
        <w:t>11</w:t>
      </w:r>
      <w:r w:rsidR="00001142" w:rsidRPr="00001142">
        <w:t xml:space="preserve">. Для підтвердження спроможності Учасника виконати умови Договору в якості Постачальника, надати скановану копію оригіналу сертифікату Учасника на систему управління якістю згідно вимог стандарту ДСТУ EN ISO 29001:2021 (Системи управління якістю. Вимоги до організацій, які постачають продукцію та надають послуги в нафтовій, нафтохімічній і газовій промисловості (EN ISO 29001:2020, IDT; ISO 29001:2020, IDT)), чинного на дату розкриття тендерних пропозицій. Копія звіту про аудит, що підтверджує проведення аудиту, складеного акредитованим НААУ органом стандартизації, метрології та сертифікації або іншим акредитованим НААУ органом по сертифікації (органом з оцінки відповідності), якщо дата реєстрації сертифікату на систему управління якістю згідно вимог стандарту ДСТУ EN ISO 29001:2021 Системи управління якістю. Вимоги до організацій, які постачають продукцію та надають послуги в нафтовій, нафтохімічній і газовій промисловості (EN ISO 29001:2020, IDT; ISO 29001:2020, IDT)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акредитованому НААУ органі стандартизації, метрології та сертифікації або іншому акредитованому НААУ органі по сертифікації (органі з оцінки відповідності) не пізніше, ніж за один рік від дати розкриття тендерних пропозицій (якщо дата реєстрації сертифікату ДСТУ EN ISO 29001:2021 Системи управління якістю. Вимоги до організацій, які постачають продукцію та надають послуги в нафтовій, нафтохімічній і газовій промисловості (EN ISO 29001:2020, IDT; ISO 29001:2020, IDT)  пізніше, ніж один рік від дати складання звіту). Сертифікат повинен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в частині ДСТУ EN ISO 9001:2018 (EN ISO 9001:2015, </w:t>
      </w:r>
      <w:r w:rsidR="00001142" w:rsidRPr="00001142">
        <w:lastRenderedPageBreak/>
        <w:t xml:space="preserve">IDT; ISO 9001:2015, IDT) «Системи управління якістю. Вимоги». На підтвердження відповідності даній </w:t>
      </w:r>
      <w:proofErr w:type="spellStart"/>
      <w:r w:rsidR="00001142" w:rsidRPr="00001142">
        <w:t>вимозі</w:t>
      </w:r>
      <w:proofErr w:type="spellEnd"/>
      <w:r w:rsidR="00001142" w:rsidRPr="00001142">
        <w:t xml:space="preserve"> надати скановану копію Атестату про акредитацію, виданого НААУ органу, що видав сертифікат, з усіма додатками.</w:t>
      </w:r>
    </w:p>
    <w:p w:rsidR="001065E1" w:rsidRPr="00D51A28" w:rsidRDefault="001065E1" w:rsidP="001065E1">
      <w:pPr>
        <w:jc w:val="both"/>
      </w:pPr>
      <w:r>
        <w:t xml:space="preserve">12. Місце поставки: </w:t>
      </w:r>
      <w:r w:rsidRPr="007C6778">
        <w:rPr>
          <w:bCs/>
          <w:color w:val="000000" w:themeColor="text1"/>
        </w:rPr>
        <w:t>Відокремлений підрозділ ДП «</w:t>
      </w:r>
      <w:proofErr w:type="spellStart"/>
      <w:r w:rsidRPr="007C6778">
        <w:rPr>
          <w:bCs/>
          <w:color w:val="000000" w:themeColor="text1"/>
        </w:rPr>
        <w:t>Волиньвугілля</w:t>
      </w:r>
      <w:proofErr w:type="spellEnd"/>
      <w:r w:rsidRPr="007C6778">
        <w:rPr>
          <w:bCs/>
          <w:color w:val="000000" w:themeColor="text1"/>
        </w:rPr>
        <w:t>»</w:t>
      </w:r>
      <w:r>
        <w:rPr>
          <w:bCs/>
          <w:color w:val="000000" w:themeColor="text1"/>
        </w:rPr>
        <w:t xml:space="preserve"> </w:t>
      </w:r>
      <w:r w:rsidRPr="007C6778">
        <w:rPr>
          <w:bCs/>
          <w:color w:val="000000" w:themeColor="text1"/>
        </w:rPr>
        <w:t>ВП «</w:t>
      </w:r>
      <w:proofErr w:type="spellStart"/>
      <w:r w:rsidRPr="007C6778">
        <w:rPr>
          <w:bCs/>
          <w:color w:val="000000" w:themeColor="text1"/>
        </w:rPr>
        <w:t>Волиньвантажтранс</w:t>
      </w:r>
      <w:proofErr w:type="spellEnd"/>
      <w:r w:rsidRPr="007C6778">
        <w:rPr>
          <w:bCs/>
          <w:color w:val="000000" w:themeColor="text1"/>
        </w:rPr>
        <w:t xml:space="preserve">», вул. Шухевича , 118, </w:t>
      </w:r>
      <w:r w:rsidRPr="007C6778">
        <w:rPr>
          <w:color w:val="000000" w:themeColor="text1"/>
        </w:rPr>
        <w:t>м. Нововолинськ, Волинської області, Україна, 45400</w:t>
      </w:r>
      <w:r w:rsidRPr="00D51A28">
        <w:t>.</w:t>
      </w:r>
    </w:p>
    <w:p w:rsidR="00837783" w:rsidRDefault="001065E1" w:rsidP="00962383">
      <w:pPr>
        <w:jc w:val="both"/>
        <w:rPr>
          <w:lang w:val="ru-RU"/>
        </w:rPr>
      </w:pPr>
      <w:r>
        <w:t>13</w:t>
      </w:r>
      <w:r w:rsidR="00962383">
        <w:t xml:space="preserve">. </w:t>
      </w:r>
      <w:r w:rsidR="00962383" w:rsidRPr="00001142">
        <w:t xml:space="preserve">Учасник (переможець, постачальник) </w:t>
      </w:r>
      <w:r w:rsidR="00962383">
        <w:t xml:space="preserve">зобов’язаний надіслати </w:t>
      </w:r>
      <w:proofErr w:type="spellStart"/>
      <w:r w:rsidR="00962383">
        <w:t>сканкопії</w:t>
      </w:r>
      <w:proofErr w:type="spellEnd"/>
      <w:r w:rsidR="00962383">
        <w:t xml:space="preserve"> вищевказаних документів на протязі 1 </w:t>
      </w:r>
      <w:r>
        <w:t xml:space="preserve">(одного) </w:t>
      </w:r>
      <w:r w:rsidR="00962383">
        <w:t xml:space="preserve">дня з моменту визначення переможця торгів на електрону адресу Замовника: </w:t>
      </w:r>
      <w:hyperlink r:id="rId4" w:history="1">
        <w:r w:rsidR="00962383" w:rsidRPr="001976B8">
          <w:rPr>
            <w:rStyle w:val="ab"/>
            <w:lang w:val="en-US"/>
          </w:rPr>
          <w:t>tenderdpvv</w:t>
        </w:r>
        <w:r w:rsidR="00962383" w:rsidRPr="001976B8">
          <w:rPr>
            <w:rStyle w:val="ab"/>
            <w:lang w:val="ru-RU"/>
          </w:rPr>
          <w:t>@</w:t>
        </w:r>
        <w:r w:rsidR="00962383" w:rsidRPr="001976B8">
          <w:rPr>
            <w:rStyle w:val="ab"/>
            <w:lang w:val="en-US"/>
          </w:rPr>
          <w:t>gmail</w:t>
        </w:r>
        <w:r w:rsidR="00962383" w:rsidRPr="001976B8">
          <w:rPr>
            <w:rStyle w:val="ab"/>
            <w:lang w:val="ru-RU"/>
          </w:rPr>
          <w:t>.</w:t>
        </w:r>
        <w:r w:rsidR="00962383" w:rsidRPr="001976B8">
          <w:rPr>
            <w:rStyle w:val="ab"/>
            <w:lang w:val="en-US"/>
          </w:rPr>
          <w:t>com</w:t>
        </w:r>
      </w:hyperlink>
      <w:r w:rsidR="00962383">
        <w:rPr>
          <w:lang w:val="ru-RU"/>
        </w:rPr>
        <w:t>.</w:t>
      </w:r>
    </w:p>
    <w:p w:rsidR="00962383" w:rsidRDefault="00962383" w:rsidP="00962383">
      <w:pPr>
        <w:jc w:val="both"/>
        <w:rPr>
          <w:lang w:val="ru-RU"/>
        </w:rPr>
      </w:pPr>
    </w:p>
    <w:p w:rsidR="00962383" w:rsidRDefault="00962383" w:rsidP="00962383">
      <w:pPr>
        <w:jc w:val="both"/>
        <w:rPr>
          <w:lang w:val="ru-RU"/>
        </w:rPr>
      </w:pPr>
    </w:p>
    <w:p w:rsidR="00962383" w:rsidRDefault="00962383" w:rsidP="00962383">
      <w:pPr>
        <w:jc w:val="both"/>
        <w:rPr>
          <w:lang w:val="ru-RU"/>
        </w:rPr>
      </w:pPr>
    </w:p>
    <w:p w:rsidR="00962383" w:rsidRDefault="00962383" w:rsidP="00962383">
      <w:pPr>
        <w:jc w:val="both"/>
        <w:rPr>
          <w:lang w:val="ru-RU"/>
        </w:rPr>
      </w:pPr>
      <w:proofErr w:type="spellStart"/>
      <w:r>
        <w:rPr>
          <w:lang w:val="ru-RU"/>
        </w:rPr>
        <w:t>Уповноважена</w:t>
      </w:r>
      <w:proofErr w:type="spellEnd"/>
      <w:r>
        <w:rPr>
          <w:lang w:val="ru-RU"/>
        </w:rPr>
        <w:t xml:space="preserve"> особа </w:t>
      </w:r>
    </w:p>
    <w:p w:rsidR="00962383" w:rsidRPr="00962383" w:rsidRDefault="00962383" w:rsidP="00962383">
      <w:pPr>
        <w:jc w:val="both"/>
        <w:rPr>
          <w:lang w:val="ru-RU"/>
        </w:rPr>
      </w:pPr>
      <w:r>
        <w:rPr>
          <w:lang w:val="ru-RU"/>
        </w:rPr>
        <w:t>ДП «</w:t>
      </w:r>
      <w:proofErr w:type="spellStart"/>
      <w:proofErr w:type="gramStart"/>
      <w:r>
        <w:rPr>
          <w:lang w:val="ru-RU"/>
        </w:rPr>
        <w:t>Волиньвугілля</w:t>
      </w:r>
      <w:proofErr w:type="spellEnd"/>
      <w:r>
        <w:rPr>
          <w:lang w:val="ru-RU"/>
        </w:rPr>
        <w:t xml:space="preserve">»   </w:t>
      </w:r>
      <w:proofErr w:type="gramEnd"/>
      <w:r>
        <w:rPr>
          <w:lang w:val="ru-RU"/>
        </w:rPr>
        <w:t xml:space="preserve">                                                                               Максим ЯЖБОРОВСЬКИЙ</w:t>
      </w:r>
    </w:p>
    <w:sectPr w:rsidR="00962383" w:rsidRPr="00962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42"/>
    <w:rsid w:val="00001142"/>
    <w:rsid w:val="001065E1"/>
    <w:rsid w:val="006A1FB8"/>
    <w:rsid w:val="00837783"/>
    <w:rsid w:val="008D50F0"/>
    <w:rsid w:val="0095556A"/>
    <w:rsid w:val="009623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61C8"/>
  <w15:chartTrackingRefBased/>
  <w15:docId w15:val="{69A798B7-2039-494E-80A1-604345E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14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ISO,ISO т"/>
    <w:basedOn w:val="a"/>
    <w:link w:val="a4"/>
    <w:rsid w:val="00001142"/>
    <w:pPr>
      <w:spacing w:after="120"/>
    </w:pPr>
  </w:style>
  <w:style w:type="character" w:customStyle="1" w:styleId="a4">
    <w:name w:val="Основной текст Знак"/>
    <w:aliases w:val="ISO Знак,ISO т Знак"/>
    <w:basedOn w:val="a0"/>
    <w:link w:val="a3"/>
    <w:rsid w:val="00001142"/>
    <w:rPr>
      <w:rFonts w:ascii="Times New Roman" w:eastAsia="Times New Roman" w:hAnsi="Times New Roman" w:cs="Times New Roman"/>
      <w:sz w:val="24"/>
      <w:szCs w:val="24"/>
      <w:lang w:eastAsia="zh-CN"/>
    </w:rPr>
  </w:style>
  <w:style w:type="character" w:styleId="a5">
    <w:name w:val="Emphasis"/>
    <w:uiPriority w:val="20"/>
    <w:qFormat/>
    <w:rsid w:val="00001142"/>
    <w:rPr>
      <w:i/>
      <w:iCs/>
    </w:rPr>
  </w:style>
  <w:style w:type="paragraph" w:styleId="a6">
    <w:name w:val="footer"/>
    <w:basedOn w:val="a"/>
    <w:link w:val="a7"/>
    <w:uiPriority w:val="99"/>
    <w:rsid w:val="00001142"/>
    <w:pPr>
      <w:tabs>
        <w:tab w:val="center" w:pos="4677"/>
        <w:tab w:val="right" w:pos="9355"/>
      </w:tabs>
    </w:pPr>
  </w:style>
  <w:style w:type="character" w:customStyle="1" w:styleId="a7">
    <w:name w:val="Нижний колонтитул Знак"/>
    <w:basedOn w:val="a0"/>
    <w:link w:val="a6"/>
    <w:uiPriority w:val="99"/>
    <w:rsid w:val="00001142"/>
    <w:rPr>
      <w:rFonts w:ascii="Times New Roman" w:eastAsia="Times New Roman" w:hAnsi="Times New Roman" w:cs="Times New Roman"/>
      <w:sz w:val="24"/>
      <w:szCs w:val="24"/>
      <w:lang w:eastAsia="zh-CN"/>
    </w:rPr>
  </w:style>
  <w:style w:type="paragraph" w:styleId="a8">
    <w:name w:val="List Paragraph"/>
    <w:aliases w:val="Elenco Normale,Список уровня 2,название табл/рис,Chapter10,заголовок 1.1"/>
    <w:basedOn w:val="a"/>
    <w:link w:val="a9"/>
    <w:uiPriority w:val="34"/>
    <w:qFormat/>
    <w:rsid w:val="00001142"/>
    <w:pPr>
      <w:spacing w:line="360" w:lineRule="auto"/>
      <w:ind w:left="720" w:firstLine="709"/>
      <w:contextualSpacing/>
      <w:jc w:val="both"/>
    </w:pPr>
    <w:rPr>
      <w:rFonts w:ascii="Calibri" w:eastAsia="Calibri" w:hAnsi="Calibri"/>
      <w:sz w:val="28"/>
      <w:szCs w:val="22"/>
    </w:rPr>
  </w:style>
  <w:style w:type="character" w:customStyle="1" w:styleId="a9">
    <w:name w:val="Абзац списка Знак"/>
    <w:aliases w:val="Elenco Normale Знак,Список уровня 2 Знак,название табл/рис Знак,Chapter10 Знак,заголовок 1.1 Знак"/>
    <w:link w:val="a8"/>
    <w:uiPriority w:val="34"/>
    <w:rsid w:val="00001142"/>
    <w:rPr>
      <w:rFonts w:ascii="Calibri" w:eastAsia="Calibri" w:hAnsi="Calibri" w:cs="Times New Roman"/>
      <w:sz w:val="28"/>
      <w:lang w:eastAsia="zh-CN"/>
    </w:rPr>
  </w:style>
  <w:style w:type="paragraph" w:customStyle="1" w:styleId="TableParagraph">
    <w:name w:val="Table Paragraph"/>
    <w:basedOn w:val="a"/>
    <w:uiPriority w:val="1"/>
    <w:qFormat/>
    <w:rsid w:val="00001142"/>
    <w:pPr>
      <w:widowControl w:val="0"/>
      <w:suppressAutoHyphens w:val="0"/>
      <w:autoSpaceDE w:val="0"/>
      <w:autoSpaceDN w:val="0"/>
      <w:spacing w:line="256" w:lineRule="exact"/>
    </w:pPr>
    <w:rPr>
      <w:sz w:val="22"/>
      <w:szCs w:val="22"/>
      <w:lang w:eastAsia="en-US"/>
    </w:rPr>
  </w:style>
  <w:style w:type="paragraph" w:styleId="aa">
    <w:name w:val="Normal (Web)"/>
    <w:aliases w:val="Обычный (Интернет),Обычный (веб) Знак,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Знак17"/>
    <w:basedOn w:val="a"/>
    <w:link w:val="1"/>
    <w:uiPriority w:val="99"/>
    <w:unhideWhenUsed/>
    <w:qFormat/>
    <w:rsid w:val="00001142"/>
    <w:pPr>
      <w:suppressAutoHyphens w:val="0"/>
      <w:spacing w:before="100" w:beforeAutospacing="1" w:after="100" w:afterAutospacing="1"/>
    </w:pPr>
    <w:rPr>
      <w:lang w:eastAsia="uk-UA"/>
    </w:rPr>
  </w:style>
  <w:style w:type="character" w:customStyle="1" w:styleId="1">
    <w:name w:val="Обычный (веб) Знак1"/>
    <w:aliases w:val="Обычный (Интернет) Знак,Обычный (веб) Знак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a"/>
    <w:uiPriority w:val="99"/>
    <w:locked/>
    <w:rsid w:val="00001142"/>
    <w:rPr>
      <w:rFonts w:ascii="Times New Roman" w:eastAsia="Times New Roman" w:hAnsi="Times New Roman" w:cs="Times New Roman"/>
      <w:sz w:val="24"/>
      <w:szCs w:val="24"/>
      <w:lang w:eastAsia="uk-UA"/>
    </w:rPr>
  </w:style>
  <w:style w:type="character" w:styleId="ab">
    <w:name w:val="Hyperlink"/>
    <w:basedOn w:val="a0"/>
    <w:uiPriority w:val="99"/>
    <w:unhideWhenUsed/>
    <w:rsid w:val="00962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nderdpv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4599</Words>
  <Characters>2622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2024-04-18T08:08:00Z</dcterms:created>
  <dcterms:modified xsi:type="dcterms:W3CDTF">2024-04-18T08:53:00Z</dcterms:modified>
</cp:coreProperties>
</file>