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CB3" w14:textId="77777777" w:rsidR="00D5716D" w:rsidRDefault="00D5716D" w:rsidP="00D5716D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6181A6B3" w14:textId="77777777" w:rsidR="00D5716D" w:rsidRDefault="00D5716D" w:rsidP="00D5716D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ДОДАТОК  2</w:t>
      </w:r>
      <w:proofErr w:type="gramEnd"/>
    </w:p>
    <w:p w14:paraId="45E516BD" w14:textId="77777777" w:rsidR="00D5716D" w:rsidRDefault="00D5716D" w:rsidP="00D5716D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0A63837" w14:textId="77777777" w:rsidR="00D5716D" w:rsidRDefault="00D5716D" w:rsidP="00D571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C74A82" w14:textId="77777777" w:rsidR="00D5716D" w:rsidRDefault="00D5716D" w:rsidP="00D5716D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A3F8CA" w14:textId="77777777" w:rsidR="001740FC" w:rsidRDefault="00D5716D" w:rsidP="001740FC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Інформація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про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необхідні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40FC">
        <w:rPr>
          <w:rFonts w:ascii="Times New Roman" w:hAnsi="Times New Roman"/>
          <w:b/>
          <w:bCs/>
          <w:sz w:val="24"/>
          <w:szCs w:val="24"/>
          <w:lang w:val="uk-UA"/>
        </w:rPr>
        <w:t>медико-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технічні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якісні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кількісні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характеристики </w:t>
      </w:r>
    </w:p>
    <w:p w14:paraId="6979E920" w14:textId="6693EACF" w:rsidR="0056163D" w:rsidRPr="00A4427D" w:rsidRDefault="00D5716D" w:rsidP="001740FC">
      <w:pPr>
        <w:contextualSpacing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9A5854">
        <w:rPr>
          <w:rFonts w:ascii="Times New Roman" w:hAnsi="Times New Roman"/>
          <w:b/>
          <w:bCs/>
          <w:sz w:val="24"/>
          <w:szCs w:val="24"/>
        </w:rPr>
        <w:t xml:space="preserve">предмета </w:t>
      </w:r>
      <w:proofErr w:type="spellStart"/>
      <w:r w:rsidRPr="009A5854">
        <w:rPr>
          <w:rFonts w:ascii="Times New Roman" w:hAnsi="Times New Roman"/>
          <w:b/>
          <w:bCs/>
          <w:sz w:val="24"/>
          <w:szCs w:val="24"/>
        </w:rPr>
        <w:t>закупівлі</w:t>
      </w:r>
      <w:proofErr w:type="spellEnd"/>
      <w:r w:rsidRPr="009A58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EEF233" w14:textId="77777777" w:rsidR="005E46D4" w:rsidRPr="00F91BF3" w:rsidRDefault="005E46D4" w:rsidP="005E46D4">
      <w:pPr>
        <w:jc w:val="center"/>
        <w:rPr>
          <w:rFonts w:ascii="Times New Roman" w:hAnsi="Times New Roman"/>
          <w:b/>
          <w:lang w:val="uk-UA"/>
        </w:rPr>
      </w:pPr>
    </w:p>
    <w:p w14:paraId="451EB219" w14:textId="359AD599" w:rsidR="005E46D4" w:rsidRPr="00D5716D" w:rsidRDefault="005E46D4" w:rsidP="0056163D">
      <w:pPr>
        <w:spacing w:line="264" w:lineRule="auto"/>
        <w:ind w:right="10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5716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D5716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bookmarkStart w:id="0" w:name="_Hlk129687342"/>
      <w:r w:rsidR="0056163D" w:rsidRPr="00D5716D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од ДК 021:2015 33600000-6 «Фармацевтична продукція»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>(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</w:rPr>
        <w:t>Theophylline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Metamizole sodium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Propranolol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D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rotaverine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V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alidol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hd w:val="clear" w:color="auto" w:fill="FDFEFD"/>
          <w:lang w:val="en-US"/>
        </w:rPr>
        <w:t>D</w:t>
      </w:r>
      <w:proofErr w:type="spellStart"/>
      <w:r w:rsidR="00D5716D" w:rsidRPr="00D5716D">
        <w:rPr>
          <w:rFonts w:ascii="Times New Roman" w:hAnsi="Times New Roman"/>
          <w:b/>
          <w:bCs/>
          <w:shd w:val="clear" w:color="auto" w:fill="FDFEFD"/>
        </w:rPr>
        <w:t>iclofenac</w:t>
      </w:r>
      <w:proofErr w:type="spellEnd"/>
      <w:r w:rsidR="00D5716D" w:rsidRPr="00D5716D">
        <w:rPr>
          <w:rFonts w:ascii="Times New Roman" w:hAnsi="Times New Roman"/>
          <w:b/>
          <w:bCs/>
          <w:shd w:val="clear" w:color="auto" w:fill="FDFEFD"/>
          <w:lang w:val="uk-UA"/>
        </w:rPr>
        <w:t>,</w:t>
      </w:r>
      <w:r w:rsidR="00D5716D" w:rsidRPr="00D5716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Diphenhydramine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</w:rPr>
        <w:t>Clonidine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N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</w:rPr>
        <w:t>ifedipine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DFEFD"/>
          <w:lang w:val="en-US"/>
        </w:rPr>
        <w:t>F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DFEFD"/>
        </w:rPr>
        <w:t>urosemide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Pitofenone</w:t>
      </w:r>
      <w:proofErr w:type="spellEnd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and</w:t>
      </w:r>
      <w:proofErr w:type="spellEnd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analgesics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Metoclopramide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en-US"/>
        </w:rPr>
        <w:t>Papaverine</w:t>
      </w:r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D5716D" w:rsidRPr="00D5716D">
        <w:rPr>
          <w:rFonts w:ascii="Times New Roman" w:hAnsi="Times New Roman"/>
          <w:b/>
          <w:bCs/>
          <w:sz w:val="24"/>
          <w:szCs w:val="24"/>
        </w:rPr>
        <w:t>Chloropyramine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="00D5716D" w:rsidRPr="00D5716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  <w:lang w:val="uk-UA"/>
        </w:rPr>
        <w:t>С</w:t>
      </w:r>
      <w:proofErr w:type="spellStart"/>
      <w:r w:rsidR="00D5716D" w:rsidRPr="00D5716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hlorhexidine</w:t>
      </w:r>
      <w:proofErr w:type="spellEnd"/>
      <w:r w:rsidR="007015BF" w:rsidRPr="00D5716D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bookmarkEnd w:id="0"/>
      <w:r w:rsidR="000943DB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14:paraId="45A3312A" w14:textId="77777777" w:rsidR="005E46D4" w:rsidRDefault="005E46D4" w:rsidP="005E46D4">
      <w:pPr>
        <w:spacing w:line="264" w:lineRule="auto"/>
        <w:ind w:right="100"/>
        <w:jc w:val="both"/>
        <w:rPr>
          <w:b/>
          <w:bCs/>
          <w:lang w:val="uk-UA"/>
        </w:rPr>
      </w:pPr>
    </w:p>
    <w:p w14:paraId="20A1E80F" w14:textId="77777777" w:rsidR="005E46D4" w:rsidRPr="009E2D68" w:rsidRDefault="005E46D4" w:rsidP="005E46D4">
      <w:pPr>
        <w:spacing w:line="264" w:lineRule="auto"/>
        <w:ind w:firstLine="284"/>
        <w:jc w:val="both"/>
        <w:rPr>
          <w:color w:val="000000"/>
          <w:sz w:val="24"/>
          <w:szCs w:val="24"/>
          <w:lang w:val="uk-UA"/>
        </w:rPr>
      </w:pPr>
      <w:r w:rsidRPr="009E2D68">
        <w:rPr>
          <w:rFonts w:ascii="Times New Roman" w:eastAsia="Calibri" w:hAnsi="Times New Roman"/>
          <w:sz w:val="24"/>
          <w:szCs w:val="24"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14:paraId="7E504C14" w14:textId="77777777" w:rsidR="005E46D4" w:rsidRPr="009E2D68" w:rsidRDefault="005E46D4" w:rsidP="005E46D4">
      <w:pPr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9E2D68">
        <w:rPr>
          <w:rFonts w:ascii="Times New Roman" w:eastAsia="Calibri" w:hAnsi="Times New Roman"/>
          <w:b/>
          <w:sz w:val="24"/>
          <w:szCs w:val="24"/>
          <w:lang w:val="uk-UA"/>
        </w:rPr>
        <w:t>ЗАГАЛЬНІ ВИМОГИ:</w:t>
      </w:r>
    </w:p>
    <w:p w14:paraId="6983AA27" w14:textId="77777777" w:rsidR="005E46D4" w:rsidRPr="009E2D68" w:rsidRDefault="005E46D4" w:rsidP="005E46D4">
      <w:pPr>
        <w:jc w:val="both"/>
        <w:rPr>
          <w:rFonts w:ascii="Times New Roman" w:eastAsia="Calibri" w:hAnsi="Times New Roman"/>
          <w:bCs/>
          <w:sz w:val="24"/>
          <w:szCs w:val="24"/>
          <w:lang w:val="uk-UA" w:eastAsia="zh-CN"/>
        </w:rPr>
      </w:pP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>1.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</w:t>
      </w:r>
      <w:r w:rsidRPr="009E2D68">
        <w:rPr>
          <w:rFonts w:ascii="Times New Roman" w:eastAsia="Calibri" w:hAnsi="Times New Roman"/>
          <w:bCs/>
          <w:sz w:val="24"/>
          <w:szCs w:val="24"/>
          <w:lang w:val="uk-UA" w:eastAsia="zh-CN"/>
        </w:rPr>
        <w:t>.</w:t>
      </w:r>
    </w:p>
    <w:p w14:paraId="7B2382FD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>2.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</w:t>
      </w:r>
      <w:r w:rsidRPr="009E2D68">
        <w:rPr>
          <w:rFonts w:ascii="Times New Roman" w:eastAsia="Calibri" w:hAnsi="Times New Roman"/>
          <w:spacing w:val="1"/>
          <w:sz w:val="24"/>
          <w:szCs w:val="24"/>
          <w:lang w:val="uk-UA" w:eastAsia="zh-CN"/>
        </w:rPr>
        <w:t xml:space="preserve">) </w:t>
      </w:r>
      <w:r w:rsidRPr="009E2D68">
        <w:rPr>
          <w:rFonts w:ascii="Times New Roman" w:eastAsia="Calibri" w:hAnsi="Times New Roman"/>
          <w:spacing w:val="2"/>
          <w:sz w:val="24"/>
          <w:szCs w:val="24"/>
          <w:lang w:val="uk-UA" w:eastAsia="zh-CN"/>
        </w:rPr>
        <w:t xml:space="preserve">наявність в учасника власних або орендованих </w:t>
      </w:r>
      <w:r w:rsidRPr="009E2D68">
        <w:rPr>
          <w:rFonts w:ascii="Times New Roman" w:eastAsia="Calibri" w:hAnsi="Times New Roman"/>
          <w:spacing w:val="1"/>
          <w:sz w:val="24"/>
          <w:szCs w:val="24"/>
          <w:lang w:val="uk-UA" w:eastAsia="zh-CN"/>
        </w:rPr>
        <w:t xml:space="preserve">складових приміщень та транспорту для забезпечення умов зберігання </w:t>
      </w: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>"холодовий ланцюг".</w:t>
      </w:r>
    </w:p>
    <w:p w14:paraId="1C652889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E2D68">
        <w:rPr>
          <w:rFonts w:ascii="Times New Roman" w:eastAsia="Calibri" w:hAnsi="Times New Roman"/>
          <w:sz w:val="24"/>
          <w:szCs w:val="24"/>
          <w:lang w:val="uk-UA" w:eastAsia="zh-CN"/>
        </w:rPr>
        <w:t xml:space="preserve">3. Еквівалентом (аналогом) лікарського засобу в розумінні даної тендерної документації є лікарський засіб якість, діюча речовина препарату (міжнародна назва), дозування, форма випуску, концентрація  та інші стандартні характеристики товару абсолютно співпадають з характеристиками препарату, що є предметом закупівлі.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Стандартні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характеристики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еквіваленту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товару на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який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відбувається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заміна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повинні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відповідати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вимогам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діючих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стандартів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щодо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даних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товарів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Запропонований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препарат повинен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відповідати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всім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нижче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наведеним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вимогам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та бути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біодоступним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та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біоеквівалентним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в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порівнянні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з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лікарським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засобом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,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що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є предметом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закупівлі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6FD0D6B9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4.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Усі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запропоновані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лікарські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засоби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мають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бути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належним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чином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зареєстрованими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в МОЗ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України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(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подаються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завірені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належним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чином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копії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реєстраційних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посвідчень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при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поставці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товару на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вимогу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Замовника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), про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що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надається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>гарантійний</w:t>
      </w:r>
      <w:proofErr w:type="spellEnd"/>
      <w:r w:rsidRPr="009E2D68"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лист.</w:t>
      </w:r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Препарати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повинні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мати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інструкції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по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використанню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zh-CN"/>
        </w:rPr>
        <w:t>українською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zh-CN"/>
        </w:rPr>
        <w:t xml:space="preserve"> мовою.</w:t>
      </w:r>
    </w:p>
    <w:p w14:paraId="39CA77EF" w14:textId="77777777" w:rsidR="005E46D4" w:rsidRPr="009E2D68" w:rsidRDefault="005E46D4" w:rsidP="005E46D4">
      <w:pPr>
        <w:jc w:val="both"/>
        <w:rPr>
          <w:rFonts w:ascii="Times New Roman" w:eastAsia="Calibri" w:hAnsi="Times New Roman"/>
          <w:sz w:val="24"/>
          <w:szCs w:val="24"/>
          <w:lang w:eastAsia="uk-UA"/>
        </w:rPr>
      </w:pPr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5.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Термін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придатності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лікарських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засобів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на момент поставки повинен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складати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не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менше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12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місяців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від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загального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терміну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придатності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з дня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завезення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їх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Замовнику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>.</w:t>
      </w:r>
    </w:p>
    <w:p w14:paraId="2767E810" w14:textId="77777777" w:rsidR="005E46D4" w:rsidRPr="009E2D68" w:rsidRDefault="005E46D4" w:rsidP="005E46D4">
      <w:pPr>
        <w:jc w:val="both"/>
        <w:rPr>
          <w:rFonts w:ascii="Times New Roman" w:hAnsi="Times New Roman"/>
          <w:b/>
          <w:sz w:val="24"/>
          <w:szCs w:val="24"/>
        </w:rPr>
      </w:pPr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6.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Учасник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зобов’язаний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забезпечити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поставку (доставку)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лікарських</w:t>
      </w:r>
      <w:proofErr w:type="spellEnd"/>
      <w:r w:rsidRPr="009E2D68">
        <w:rPr>
          <w:rFonts w:ascii="Times New Roman" w:eastAsia="Calibri" w:hAnsi="Times New Roman"/>
          <w:sz w:val="24"/>
          <w:szCs w:val="24"/>
          <w:lang w:eastAsia="uk-UA"/>
        </w:rPr>
        <w:t xml:space="preserve"> </w:t>
      </w:r>
      <w:proofErr w:type="spellStart"/>
      <w:r w:rsidRPr="009E2D68">
        <w:rPr>
          <w:rFonts w:ascii="Times New Roman" w:eastAsia="Calibri" w:hAnsi="Times New Roman"/>
          <w:sz w:val="24"/>
          <w:szCs w:val="24"/>
          <w:lang w:eastAsia="uk-UA"/>
        </w:rPr>
        <w:t>засобів</w:t>
      </w:r>
      <w:proofErr w:type="spellEnd"/>
      <w:r w:rsidRPr="009E2D68">
        <w:rPr>
          <w:rFonts w:ascii="Times New Roman" w:eastAsia="Calibri" w:hAnsi="Times New Roman"/>
          <w:b/>
          <w:sz w:val="24"/>
          <w:szCs w:val="24"/>
        </w:rPr>
        <w:t xml:space="preserve"> (за </w:t>
      </w:r>
      <w:proofErr w:type="spellStart"/>
      <w:r w:rsidRPr="009E2D68">
        <w:rPr>
          <w:rFonts w:ascii="Times New Roman" w:eastAsia="Calibri" w:hAnsi="Times New Roman"/>
          <w:b/>
          <w:sz w:val="24"/>
          <w:szCs w:val="24"/>
        </w:rPr>
        <w:t>адресою</w:t>
      </w:r>
      <w:proofErr w:type="spellEnd"/>
      <w:r w:rsidRPr="009E2D68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9E2D68">
        <w:rPr>
          <w:rFonts w:ascii="Times New Roman" w:eastAsia="Calibri" w:hAnsi="Times New Roman"/>
          <w:b/>
          <w:sz w:val="24"/>
          <w:szCs w:val="24"/>
        </w:rPr>
        <w:t>замовника</w:t>
      </w:r>
      <w:proofErr w:type="spellEnd"/>
      <w:r w:rsidRPr="009E2D68">
        <w:rPr>
          <w:rFonts w:ascii="Times New Roman" w:eastAsia="Calibri" w:hAnsi="Times New Roman"/>
          <w:b/>
          <w:sz w:val="24"/>
          <w:szCs w:val="24"/>
        </w:rPr>
        <w:t xml:space="preserve">) </w:t>
      </w:r>
    </w:p>
    <w:p w14:paraId="702A7EEB" w14:textId="7A23DD6B" w:rsidR="00462C0F" w:rsidRPr="009E2D68" w:rsidRDefault="00D5716D" w:rsidP="005E46D4">
      <w:pPr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7</w:t>
      </w:r>
      <w:r w:rsidR="005E46D4" w:rsidRPr="009E2D68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r w:rsidR="005E46D4" w:rsidRPr="009E2D68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 у складі тендерної пропозиції повинен надати сканований файл із нотаріально завіреною копією ліцензії на право торгівлі лікарськими препаратами або ліцензії на виробництво лікарських засобів, якщо учасник є виробником запропонованого товару, за її відсутності письмове пояснення </w:t>
      </w:r>
      <w:r w:rsidR="005E46D4" w:rsidRPr="009E2D6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причин відсутності ліцензії, що повинно містити посилання на нормативні акти або копію роз’яснення державних органів.</w:t>
      </w:r>
    </w:p>
    <w:p w14:paraId="67E9204B" w14:textId="77777777" w:rsidR="005E46D4" w:rsidRPr="004C5AC2" w:rsidRDefault="005E46D4" w:rsidP="005E46D4">
      <w:pPr>
        <w:spacing w:line="264" w:lineRule="auto"/>
        <w:jc w:val="center"/>
        <w:rPr>
          <w:rFonts w:ascii="Times New Roman" w:hAnsi="Times New Roman"/>
          <w:b/>
          <w:color w:val="000000"/>
          <w:spacing w:val="-2"/>
          <w:lang w:val="uk-UA"/>
        </w:rPr>
      </w:pPr>
      <w:r w:rsidRPr="00301972">
        <w:rPr>
          <w:rFonts w:ascii="Times New Roman" w:hAnsi="Times New Roman"/>
          <w:b/>
          <w:color w:val="000000"/>
          <w:spacing w:val="-2"/>
          <w:lang w:val="uk-UA"/>
        </w:rPr>
        <w:t xml:space="preserve">МЕДИКО –ТЕХНІЧНІ ВИМОГИ </w:t>
      </w:r>
      <w:r>
        <w:rPr>
          <w:rFonts w:ascii="Times New Roman" w:hAnsi="Times New Roman"/>
          <w:b/>
          <w:color w:val="000000"/>
          <w:spacing w:val="-2"/>
          <w:lang w:val="uk-UA"/>
        </w:rPr>
        <w:t>: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111"/>
        <w:gridCol w:w="1701"/>
        <w:gridCol w:w="1134"/>
        <w:gridCol w:w="1134"/>
      </w:tblGrid>
      <w:tr w:rsidR="005E46D4" w:rsidRPr="00077A61" w14:paraId="56A8382F" w14:textId="77777777" w:rsidTr="005E46D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588C877" w14:textId="77777777" w:rsidR="005E46D4" w:rsidRPr="000C7C8C" w:rsidRDefault="005E46D4" w:rsidP="005E46D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7C8C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  <w:p w14:paraId="1B7F7AAA" w14:textId="77777777" w:rsidR="005E46D4" w:rsidRPr="000C7C8C" w:rsidRDefault="005E46D4" w:rsidP="005E46D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7C8C">
              <w:rPr>
                <w:rFonts w:ascii="Times New Roman" w:hAnsi="Times New Roman"/>
                <w:b/>
                <w:bCs/>
                <w:sz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9181EF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>Міжнародна</w:t>
            </w:r>
            <w:proofErr w:type="spellEnd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>непатентована</w:t>
            </w:r>
            <w:proofErr w:type="spellEnd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sz w:val="18"/>
                <w:szCs w:val="18"/>
              </w:rPr>
              <w:t>назва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D326DD0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Торгівельна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назва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лікарського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0C7C8C">
              <w:rPr>
                <w:rFonts w:ascii="Times New Roman" w:hAnsi="Times New Roman"/>
                <w:b/>
                <w:bCs/>
                <w:sz w:val="20"/>
              </w:rPr>
              <w:t>засобу</w:t>
            </w:r>
            <w:proofErr w:type="spellEnd"/>
            <w:r w:rsidRPr="000C7C8C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0C7C8C">
              <w:rPr>
                <w:rFonts w:ascii="Times New Roman" w:hAnsi="Times New Roman"/>
                <w:b/>
                <w:bCs/>
                <w:sz w:val="20"/>
                <w:lang w:val="uk-UA"/>
              </w:rPr>
              <w:t>(дозування)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72ABA30B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0C7C8C">
              <w:rPr>
                <w:rFonts w:ascii="Times New Roman" w:hAnsi="Times New Roman"/>
                <w:b/>
                <w:bCs/>
                <w:sz w:val="20"/>
                <w:lang w:val="uk-UA"/>
              </w:rPr>
              <w:t>Уточнюючий 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3D9ADF12" w14:textId="77777777" w:rsidR="005E46D4" w:rsidRPr="000C7C8C" w:rsidRDefault="005E46D4" w:rsidP="005E46D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C7C8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Од. </w:t>
            </w:r>
            <w:proofErr w:type="spellStart"/>
            <w:r w:rsidRPr="000C7C8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вим</w:t>
            </w:r>
            <w:proofErr w:type="spellEnd"/>
            <w:r w:rsidRPr="000C7C8C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796C9BF6" w14:textId="77777777" w:rsidR="005E46D4" w:rsidRPr="00077A61" w:rsidRDefault="005E46D4" w:rsidP="005E46D4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z w:val="20"/>
              </w:rPr>
            </w:pPr>
            <w:proofErr w:type="spellStart"/>
            <w:r w:rsidRPr="00077A61">
              <w:rPr>
                <w:b/>
                <w:bCs/>
                <w:sz w:val="20"/>
              </w:rPr>
              <w:t>Кількість</w:t>
            </w:r>
            <w:proofErr w:type="spellEnd"/>
          </w:p>
        </w:tc>
      </w:tr>
      <w:tr w:rsidR="009E2D68" w:rsidRPr="000B1C30" w14:paraId="67CDC9C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7BE0" w14:textId="691181B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E71C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Metamizole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sodium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19DA" w14:textId="77777777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Анальгін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ін’єкцій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500 мг/мл по 2 мл в ампулах; по 10 ампул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  <w:r w:rsidRPr="00462C0F">
              <w:rPr>
                <w:rFonts w:ascii="Times New Roman" w:hAnsi="Times New Roman"/>
              </w:rPr>
              <w:t xml:space="preserve"> з картону з перегородками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9A3A0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33661200-3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170C76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5F4D2" w14:textId="6D1C33E4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BE3DB1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3209AAB6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6E38" w14:textId="5FAA4F13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4A83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Propranolol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65A36" w14:textId="074BD301" w:rsidR="009E2D68" w:rsidRPr="00462C0F" w:rsidRDefault="009E2D68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Анаприлін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таблетки по 40 мг, по 10 таблеток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</w:t>
            </w:r>
            <w:proofErr w:type="spellStart"/>
            <w:r w:rsidRPr="00462C0F">
              <w:rPr>
                <w:rFonts w:ascii="Times New Roman" w:hAnsi="Times New Roman"/>
              </w:rPr>
              <w:t>блістерів</w:t>
            </w:r>
            <w:proofErr w:type="spellEnd"/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картонній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коробц</w:t>
            </w:r>
            <w:proofErr w:type="spellEnd"/>
            <w:r w:rsidR="00BF5D5C" w:rsidRPr="00462C0F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F7C31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33622600-2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BC54F1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38608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5</w:t>
            </w:r>
          </w:p>
        </w:tc>
      </w:tr>
      <w:tr w:rsidR="009E2D68" w:rsidRPr="000B1C30" w14:paraId="2CC2E288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6DEBC" w14:textId="23A886F0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AB3D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Propranolol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0DF1" w14:textId="41F1C405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Анаприлін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таблетки по 10 мг, по 10 таблеток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</w:t>
            </w:r>
            <w:proofErr w:type="spellStart"/>
            <w:r w:rsidRPr="00462C0F">
              <w:rPr>
                <w:rFonts w:ascii="Times New Roman" w:hAnsi="Times New Roman"/>
              </w:rPr>
              <w:t>блістерів</w:t>
            </w:r>
            <w:proofErr w:type="spellEnd"/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картонній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494AA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33622600-2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D82DDA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3D3D8" w14:textId="098814AE" w:rsidR="009E2D68" w:rsidRPr="00462C0F" w:rsidRDefault="00BE3DB1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462C0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E2D68" w:rsidRPr="000B1C30" w14:paraId="67D6EA4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B9CA" w14:textId="134D626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4636" w14:textId="7F21D662" w:rsidR="009E2D68" w:rsidRPr="00462C0F" w:rsidRDefault="0022271B" w:rsidP="009E2D68">
            <w:pPr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D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iclofenac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5890" w14:textId="105E1CED" w:rsidR="009E2D68" w:rsidRPr="00462C0F" w:rsidRDefault="0022271B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 xml:space="preserve">Диклофенак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, 25 мг/мл по 3 мл в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; по 10 ампул у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пачці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46913" w14:textId="38CED72F" w:rsidR="009E2D68" w:rsidRPr="00462C0F" w:rsidRDefault="0022271B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33632100-0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3FD2CD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86AE3B" w14:textId="01D43752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22271B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2A1136" w:rsidRPr="000B1C30" w14:paraId="412D0BE1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7D578" w14:textId="2645B471" w:rsidR="002A1136" w:rsidRPr="00462C0F" w:rsidRDefault="002A1136" w:rsidP="002A1136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62C0F">
              <w:rPr>
                <w:rFonts w:ascii="Times New Roman" w:hAnsi="Times New Roman"/>
                <w:b/>
                <w:bCs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44D2" w14:textId="01014AC8" w:rsidR="002A1136" w:rsidRPr="00462C0F" w:rsidRDefault="002A1136" w:rsidP="002A1136">
            <w:pPr>
              <w:rPr>
                <w:rFonts w:ascii="Times New Roman" w:hAnsi="Times New Roman"/>
                <w:highlight w:val="yellow"/>
                <w:shd w:val="clear" w:color="auto" w:fill="FDFEFD"/>
                <w:lang w:val="en-US"/>
              </w:rPr>
            </w:pPr>
            <w:proofErr w:type="spellStart"/>
            <w:r w:rsidRPr="00462C0F">
              <w:rPr>
                <w:rFonts w:ascii="Times New Roman" w:hAnsi="Times New Roman"/>
              </w:rPr>
              <w:t>Diphenhydramine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F92A" w14:textId="299E9B79" w:rsidR="002A1136" w:rsidRPr="00462C0F" w:rsidRDefault="002A1136" w:rsidP="002A1136">
            <w:pPr>
              <w:pStyle w:val="a6"/>
              <w:rPr>
                <w:rFonts w:ascii="Times New Roman" w:hAnsi="Times New Roman"/>
                <w:shd w:val="clear" w:color="auto" w:fill="FDFEFD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Димедрол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10 мг/мл по 1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10 ампул у </w:t>
            </w:r>
            <w:proofErr w:type="spellStart"/>
            <w:r w:rsidRPr="00462C0F">
              <w:rPr>
                <w:rFonts w:ascii="Times New Roman" w:hAnsi="Times New Roman"/>
              </w:rPr>
              <w:t>коробці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CA808" w14:textId="44BF2901" w:rsidR="002A1136" w:rsidRPr="00462C0F" w:rsidRDefault="002A1136" w:rsidP="002A1136">
            <w:pPr>
              <w:pStyle w:val="a6"/>
              <w:jc w:val="center"/>
              <w:rPr>
                <w:rFonts w:ascii="Times New Roman" w:hAnsi="Times New Roman"/>
                <w:shd w:val="clear" w:color="auto" w:fill="FDFEFD"/>
              </w:rPr>
            </w:pPr>
            <w:r w:rsidRPr="00462C0F">
              <w:rPr>
                <w:rFonts w:ascii="Times New Roman" w:hAnsi="Times New Roman"/>
              </w:rPr>
              <w:t>33675000-2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672AB2" w14:textId="7494EB9B" w:rsidR="002A1136" w:rsidRPr="00462C0F" w:rsidRDefault="002A1136" w:rsidP="002A1136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DDEF2B" w14:textId="4CF625C2" w:rsidR="002A1136" w:rsidRPr="00462C0F" w:rsidRDefault="00490CBA" w:rsidP="002A1136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A1136" w:rsidRPr="00462C0F">
              <w:rPr>
                <w:rFonts w:ascii="Times New Roman" w:hAnsi="Times New Roman"/>
              </w:rPr>
              <w:t>0</w:t>
            </w:r>
          </w:p>
        </w:tc>
      </w:tr>
      <w:tr w:rsidR="009E2D68" w:rsidRPr="000B1C30" w14:paraId="4362DC13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34EE" w14:textId="2B864416" w:rsidR="009E2D68" w:rsidRPr="00462C0F" w:rsidRDefault="002A1136" w:rsidP="005E46D4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62C0F">
              <w:rPr>
                <w:rFonts w:ascii="Times New Roman" w:hAnsi="Times New Roman"/>
                <w:b/>
                <w:bCs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95C76" w14:textId="02C05E28" w:rsidR="009E2D68" w:rsidRPr="00462C0F" w:rsidRDefault="00BE3DB1" w:rsidP="009E2D68">
            <w:pPr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D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rotaverine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CF814" w14:textId="6B38BF18" w:rsidR="009E2D68" w:rsidRPr="00462C0F" w:rsidRDefault="00BE3DB1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Дротаверин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>,</w:t>
            </w:r>
            <w:r w:rsidR="00F66379">
              <w:rPr>
                <w:rFonts w:ascii="Times New Roman" w:hAnsi="Times New Roman"/>
                <w:lang w:val="en-US"/>
              </w:rPr>
              <w:t xml:space="preserve"> </w:t>
            </w:r>
            <w:r w:rsidR="00F66379" w:rsidRPr="00F66379">
              <w:rPr>
                <w:rFonts w:ascii="Times New Roman" w:hAnsi="Times New Roman"/>
                <w:highlight w:val="yellow"/>
                <w:lang w:val="en-US"/>
              </w:rPr>
              <w:t>2</w:t>
            </w:r>
            <w:r w:rsidRPr="00F66379">
              <w:rPr>
                <w:rFonts w:ascii="Times New Roman" w:hAnsi="Times New Roman"/>
                <w:highlight w:val="yellow"/>
                <w:shd w:val="clear" w:color="auto" w:fill="FDFEFD"/>
              </w:rPr>
              <w:t>0мг/мл</w:t>
            </w:r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 xml:space="preserve">в ампулі по </w:t>
            </w:r>
            <w:r w:rsidRPr="00462C0F">
              <w:rPr>
                <w:rFonts w:ascii="Times New Roman" w:hAnsi="Times New Roman"/>
                <w:shd w:val="clear" w:color="auto" w:fill="FDFEFD"/>
              </w:rPr>
              <w:t>5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 xml:space="preserve"> ампул в пачці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5EF9C" w14:textId="7222CCA6" w:rsidR="009E2D68" w:rsidRPr="00462C0F" w:rsidRDefault="002A1136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33612000-3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B5ED12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48444" w14:textId="742C1B61" w:rsidR="009E2D68" w:rsidRPr="00462C0F" w:rsidRDefault="00BE3DB1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1</w:t>
            </w:r>
            <w:r w:rsidR="00490CBA">
              <w:rPr>
                <w:rFonts w:ascii="Times New Roman" w:hAnsi="Times New Roman"/>
                <w:lang w:val="uk-UA"/>
              </w:rPr>
              <w:t>5</w:t>
            </w:r>
            <w:r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E2D68" w:rsidRPr="000B1C30" w14:paraId="12E01E2C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836D7" w14:textId="5CD38147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CBBDC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Theophylline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B407" w14:textId="224ABBBA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Еуфілін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 2 % по 5 мл 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10 ампул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A207F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33673000-8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CD8B91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014F1" w14:textId="747AEA96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B40BD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7FCFAFC0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62C7" w14:textId="39137575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49BB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Clonidine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51D0" w14:textId="3262B4EB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Клофелін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таблетки по 0,15 мг, по 10 таблеток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</w:t>
            </w:r>
            <w:proofErr w:type="spellStart"/>
            <w:r w:rsidRPr="00462C0F">
              <w:rPr>
                <w:rFonts w:ascii="Times New Roman" w:hAnsi="Times New Roman"/>
              </w:rPr>
              <w:t>блістерів</w:t>
            </w:r>
            <w:proofErr w:type="spellEnd"/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49252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33622200-8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6E3412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D0801D" w14:textId="39C572E2" w:rsidR="009E2D68" w:rsidRPr="00462C0F" w:rsidRDefault="00DB40BD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462C0F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E2D68" w:rsidRPr="000B1C30" w14:paraId="03470DF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4312" w14:textId="3A8DDC3A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80026" w14:textId="33E5FFFB" w:rsidR="009E2D68" w:rsidRPr="00462C0F" w:rsidRDefault="00DB5991" w:rsidP="009E2D68">
            <w:pPr>
              <w:rPr>
                <w:rFonts w:ascii="Times New Roman" w:hAnsi="Times New Roman"/>
                <w:lang w:val="en-US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V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alidol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A040" w14:textId="22578EC1" w:rsidR="009E2D68" w:rsidRPr="00462C0F" w:rsidRDefault="00DB5991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Корвалмент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капс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ули</w:t>
            </w:r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r w:rsidR="00F66379" w:rsidRPr="00F66379">
              <w:rPr>
                <w:rFonts w:ascii="Times New Roman" w:hAnsi="Times New Roman"/>
                <w:highlight w:val="yellow"/>
                <w:shd w:val="clear" w:color="auto" w:fill="FDFEFD"/>
                <w:lang w:val="en-US"/>
              </w:rPr>
              <w:t>100</w:t>
            </w:r>
            <w:r w:rsidRPr="00F66379">
              <w:rPr>
                <w:rFonts w:ascii="Times New Roman" w:hAnsi="Times New Roman"/>
                <w:highlight w:val="yellow"/>
                <w:shd w:val="clear" w:color="auto" w:fill="FDFEFD"/>
                <w:lang w:val="uk-UA"/>
              </w:rPr>
              <w:t xml:space="preserve"> мг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,</w:t>
            </w:r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r w:rsidRPr="00462C0F">
              <w:rPr>
                <w:rFonts w:ascii="Times New Roman" w:hAnsi="Times New Roman"/>
              </w:rPr>
              <w:t xml:space="preserve">по 10 </w:t>
            </w:r>
            <w:r w:rsidRPr="00462C0F">
              <w:rPr>
                <w:rFonts w:ascii="Times New Roman" w:hAnsi="Times New Roman"/>
                <w:lang w:val="uk-UA"/>
              </w:rPr>
              <w:t>капсул</w:t>
            </w:r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блістері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, </w:t>
            </w:r>
            <w:r w:rsidRPr="00462C0F">
              <w:rPr>
                <w:rFonts w:ascii="Times New Roman" w:hAnsi="Times New Roman"/>
              </w:rPr>
              <w:t xml:space="preserve">по </w:t>
            </w:r>
            <w:r w:rsidRPr="00462C0F">
              <w:rPr>
                <w:rFonts w:ascii="Times New Roman" w:hAnsi="Times New Roman"/>
                <w:lang w:val="uk-UA"/>
              </w:rPr>
              <w:t>3</w:t>
            </w:r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блістер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>и</w:t>
            </w:r>
            <w:r w:rsidRPr="00462C0F">
              <w:rPr>
                <w:rFonts w:ascii="Times New Roman" w:hAnsi="Times New Roman"/>
              </w:rPr>
              <w:t xml:space="preserve"> у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3F1A6" w14:textId="282FC5CE" w:rsidR="002A1136" w:rsidRPr="00462C0F" w:rsidRDefault="002A1136" w:rsidP="002A1136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/>
                <w:lang w:val="uk-UA" w:eastAsia="uk-UA"/>
              </w:rPr>
            </w:pPr>
            <w:r w:rsidRPr="00462C0F">
              <w:rPr>
                <w:rFonts w:ascii="Times New Roman" w:hAnsi="Times New Roman"/>
              </w:rPr>
              <w:br/>
              <w:t xml:space="preserve">33622100-7 </w:t>
            </w:r>
          </w:p>
          <w:p w14:paraId="0BF2870D" w14:textId="4EF8AE94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3C25B" w14:textId="68104F83" w:rsidR="009E2D68" w:rsidRPr="00462C0F" w:rsidRDefault="00DB5991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B40595" w14:textId="12FC9315" w:rsidR="009E2D68" w:rsidRPr="00462C0F" w:rsidRDefault="00DB5991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40</w:t>
            </w:r>
          </w:p>
        </w:tc>
      </w:tr>
      <w:tr w:rsidR="009E2D68" w:rsidRPr="000B1C30" w14:paraId="1C99EDF8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ACEC" w14:textId="7A9AB95A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7B214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Metoclopramide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62A9" w14:textId="77777777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Метоклопрамід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5 мг/мл по 2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ампул у </w:t>
            </w:r>
            <w:proofErr w:type="spellStart"/>
            <w:r w:rsidRPr="00462C0F">
              <w:rPr>
                <w:rFonts w:ascii="Times New Roman" w:hAnsi="Times New Roman"/>
              </w:rPr>
              <w:t>контурній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чарунковій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упаковці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 2 </w:t>
            </w:r>
            <w:proofErr w:type="spellStart"/>
            <w:r w:rsidRPr="00462C0F">
              <w:rPr>
                <w:rFonts w:ascii="Times New Roman" w:hAnsi="Times New Roman"/>
              </w:rPr>
              <w:t>контурні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чарункові</w:t>
            </w:r>
            <w:proofErr w:type="spellEnd"/>
            <w:r w:rsidRPr="00462C0F">
              <w:rPr>
                <w:rFonts w:ascii="Times New Roman" w:hAnsi="Times New Roman"/>
              </w:rPr>
              <w:t xml:space="preserve"> упаковки в </w:t>
            </w:r>
            <w:proofErr w:type="spellStart"/>
            <w:r w:rsidRPr="00462C0F">
              <w:rPr>
                <w:rFonts w:ascii="Times New Roman" w:hAnsi="Times New Roman"/>
              </w:rPr>
              <w:t>пачці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0CC7A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33612000-3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1516B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D3B54" w14:textId="04CF25F7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B40BD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31BA0671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753D" w14:textId="37A5152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5902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Papaverine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963E" w14:textId="660E593C" w:rsidR="009E2D68" w:rsidRPr="00462C0F" w:rsidRDefault="009E2D68" w:rsidP="009E2D68">
            <w:pPr>
              <w:pStyle w:val="a6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 xml:space="preserve">Папаверин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20 мг/мл по 2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10 ампул </w:t>
            </w:r>
            <w:r w:rsidR="00A943A6">
              <w:rPr>
                <w:rFonts w:ascii="Times New Roman" w:hAnsi="Times New Roman"/>
                <w:lang w:val="uk-UA"/>
              </w:rPr>
              <w:t>в упаковці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68D4F" w14:textId="3149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33612000-3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97DFCC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1759F" w14:textId="2AEA85F5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DB40BD" w:rsidRPr="00462C0F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E2D68" w:rsidRPr="000B1C30" w14:paraId="1F0BE126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5E0F0" w14:textId="7908245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32065" w14:textId="46B3746F" w:rsidR="009E2D68" w:rsidRPr="00462C0F" w:rsidRDefault="001C1D0B" w:rsidP="009E2D68">
            <w:pPr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N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ifedipine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87EC" w14:textId="37F90F04" w:rsidR="009E2D68" w:rsidRPr="00462C0F" w:rsidRDefault="001C1D0B" w:rsidP="009E2D6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Фармадипін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краплі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25мл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162A4" w14:textId="4A90B383" w:rsidR="009E2D68" w:rsidRPr="00462C0F" w:rsidRDefault="001C1D0B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33622200-8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821BCC" w14:textId="7D2F375D" w:rsidR="009E2D68" w:rsidRPr="00462C0F" w:rsidRDefault="001C1D0B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1425F" w14:textId="228A3901" w:rsidR="009E2D68" w:rsidRPr="00462C0F" w:rsidRDefault="001C1D0B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3</w:t>
            </w:r>
            <w:r w:rsidR="003A558F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DD45FD" w:rsidRPr="000B1C30" w14:paraId="62783613" w14:textId="77777777" w:rsidTr="000943DB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1F39" w14:textId="3C6D00A2" w:rsidR="00DD45FD" w:rsidRPr="00462C0F" w:rsidRDefault="0022271B" w:rsidP="00DD45F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A4C7" w14:textId="799F0294" w:rsidR="00DD45FD" w:rsidRPr="00462C0F" w:rsidRDefault="00DD45FD" w:rsidP="00DD45FD">
            <w:pPr>
              <w:rPr>
                <w:rFonts w:ascii="Times New Roman" w:hAnsi="Times New Roman"/>
                <w:shd w:val="clear" w:color="auto" w:fill="FDFEFD"/>
                <w:lang w:val="en-US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 </w:t>
            </w:r>
            <w:r w:rsidRPr="00462C0F">
              <w:rPr>
                <w:rFonts w:ascii="Times New Roman" w:hAnsi="Times New Roman"/>
                <w:shd w:val="clear" w:color="auto" w:fill="FDFEFD"/>
                <w:lang w:val="en-US"/>
              </w:rPr>
              <w:t>F</w:t>
            </w:r>
            <w:proofErr w:type="spellStart"/>
            <w:r w:rsidRPr="00462C0F">
              <w:rPr>
                <w:rFonts w:ascii="Times New Roman" w:hAnsi="Times New Roman"/>
                <w:bdr w:val="none" w:sz="0" w:space="0" w:color="auto" w:frame="1"/>
                <w:shd w:val="clear" w:color="auto" w:fill="FDFEFD"/>
              </w:rPr>
              <w:t>urosemide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29373" w14:textId="561D3834" w:rsidR="00DD45FD" w:rsidRPr="00462C0F" w:rsidRDefault="00DD45FD" w:rsidP="000943DB">
            <w:pPr>
              <w:spacing w:after="0" w:line="240" w:lineRule="auto"/>
              <w:textAlignment w:val="baseline"/>
              <w:rPr>
                <w:rFonts w:ascii="Times New Roman" w:hAnsi="Times New Roman"/>
                <w:lang w:val="uk-UA" w:eastAsia="uk-UA"/>
              </w:rPr>
            </w:pPr>
            <w:proofErr w:type="spellStart"/>
            <w:r w:rsidRPr="00462C0F">
              <w:rPr>
                <w:rFonts w:ascii="Times New Roman" w:hAnsi="Times New Roman"/>
              </w:rPr>
              <w:t>Фуросемід</w:t>
            </w:r>
            <w:proofErr w:type="spellEnd"/>
            <w:r w:rsidRPr="00462C0F">
              <w:rPr>
                <w:rFonts w:ascii="Times New Roman" w:hAnsi="Times New Roman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 1%</w:t>
            </w:r>
            <w:r w:rsidRPr="00462C0F">
              <w:rPr>
                <w:rFonts w:ascii="Times New Roman" w:hAnsi="Times New Roman"/>
                <w:lang w:val="uk-UA"/>
              </w:rPr>
              <w:t xml:space="preserve"> по</w:t>
            </w:r>
            <w:r w:rsidRPr="00462C0F">
              <w:rPr>
                <w:rFonts w:ascii="Times New Roman" w:hAnsi="Times New Roman"/>
              </w:rPr>
              <w:t xml:space="preserve"> 2мл </w:t>
            </w:r>
            <w:r w:rsidRPr="00462C0F">
              <w:rPr>
                <w:rFonts w:ascii="Times New Roman" w:hAnsi="Times New Roman"/>
                <w:lang w:val="uk-UA"/>
              </w:rPr>
              <w:t>в ампулі; по 1</w:t>
            </w:r>
            <w:r w:rsidRPr="00462C0F">
              <w:rPr>
                <w:rFonts w:ascii="Times New Roman" w:hAnsi="Times New Roman"/>
              </w:rPr>
              <w:t>0</w:t>
            </w:r>
            <w:r w:rsidRPr="00462C0F">
              <w:rPr>
                <w:rFonts w:ascii="Times New Roman" w:hAnsi="Times New Roman"/>
                <w:lang w:val="uk-UA"/>
              </w:rPr>
              <w:t xml:space="preserve"> ампул в упаковці</w:t>
            </w:r>
          </w:p>
          <w:p w14:paraId="50F41C51" w14:textId="70B2083E" w:rsidR="00DD45FD" w:rsidRPr="00462C0F" w:rsidRDefault="00DD45FD" w:rsidP="000943DB">
            <w:pPr>
              <w:pStyle w:val="a6"/>
              <w:rPr>
                <w:rFonts w:ascii="Times New Roman" w:hAnsi="Times New Roman"/>
                <w:shd w:val="clear" w:color="auto" w:fill="FDFEF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F27D7" w14:textId="1C671868" w:rsidR="00DD45FD" w:rsidRPr="00462C0F" w:rsidRDefault="00DD45FD" w:rsidP="000943DB">
            <w:pPr>
              <w:pStyle w:val="a6"/>
              <w:jc w:val="center"/>
              <w:rPr>
                <w:rFonts w:ascii="Times New Roman" w:hAnsi="Times New Roman"/>
                <w:shd w:val="clear" w:color="auto" w:fill="FDFEFD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33622300-9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D849D5" w14:textId="1D31C047" w:rsidR="00DD45FD" w:rsidRPr="00462C0F" w:rsidRDefault="00DD45FD" w:rsidP="000943DB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54B58" w14:textId="65A8F241" w:rsidR="00DD45FD" w:rsidRPr="00462C0F" w:rsidRDefault="00490CBA" w:rsidP="000943DB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DD45FD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9E2D68" w:rsidRPr="000B1C30" w14:paraId="7C41C975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C899" w14:textId="61DCBBCB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64A2" w14:textId="15CDF307" w:rsidR="009E2D68" w:rsidRPr="00462C0F" w:rsidRDefault="00462C0F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  <w:shd w:val="clear" w:color="auto" w:fill="FFFFFF"/>
              </w:rPr>
              <w:t>Pitofenone</w:t>
            </w:r>
            <w:proofErr w:type="spellEnd"/>
            <w:r w:rsidRPr="00462C0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FFFFF"/>
              </w:rPr>
              <w:t>and</w:t>
            </w:r>
            <w:proofErr w:type="spellEnd"/>
            <w:r w:rsidRPr="00462C0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FFFFF"/>
              </w:rPr>
              <w:t>analgesics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6687" w14:textId="6E7E6DFB" w:rsidR="009E2D68" w:rsidRPr="00A943A6" w:rsidRDefault="00DB40BD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shd w:val="clear" w:color="auto" w:fill="FDFEFD"/>
              </w:rPr>
              <w:t>Р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енальган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  <w:shd w:val="clear" w:color="auto" w:fill="FDFEFD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  <w:shd w:val="clear" w:color="auto" w:fill="FDFEFD"/>
              </w:rPr>
              <w:t>, 5 мг</w:t>
            </w:r>
            <w:r w:rsidRPr="00462C0F">
              <w:rPr>
                <w:rFonts w:ascii="Times New Roman" w:hAnsi="Times New Roman"/>
                <w:shd w:val="clear" w:color="auto" w:fill="FDFEFD"/>
                <w:lang w:val="uk-UA"/>
              </w:rPr>
              <w:t>/мл, по 5 мл в ампулі;</w:t>
            </w:r>
            <w:r w:rsidRPr="00462C0F">
              <w:rPr>
                <w:rFonts w:ascii="Times New Roman" w:hAnsi="Times New Roman"/>
              </w:rPr>
              <w:t xml:space="preserve"> по 5 ампул </w:t>
            </w:r>
            <w:r w:rsidR="00A943A6">
              <w:rPr>
                <w:rFonts w:ascii="Times New Roman" w:hAnsi="Times New Roman"/>
                <w:lang w:val="uk-UA"/>
              </w:rPr>
              <w:t>в упаковці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C346B" w14:textId="183FE506" w:rsidR="009E2D68" w:rsidRPr="00462C0F" w:rsidRDefault="00462C0F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shd w:val="clear" w:color="auto" w:fill="FFFFFF"/>
              </w:rPr>
              <w:t>33661200-3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53AB83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E794BD" w14:textId="6BC191A0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DB40BD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DD45FD" w:rsidRPr="000B1C30" w14:paraId="33E77E4C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C322" w14:textId="3BBE5EE4" w:rsidR="00DD45FD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FDFF8" w14:textId="5ED2C553" w:rsidR="00DD45FD" w:rsidRPr="00462C0F" w:rsidRDefault="00DD45FD" w:rsidP="009E2D68">
            <w:pPr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</w:pPr>
            <w:r w:rsidRPr="00462C0F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С</w:t>
            </w:r>
            <w:proofErr w:type="spellStart"/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>hlorhexidine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073C" w14:textId="5767C0F8" w:rsidR="00DD45FD" w:rsidRPr="00462C0F" w:rsidRDefault="00DD45FD" w:rsidP="009E2D68">
            <w:pPr>
              <w:pStyle w:val="a6"/>
              <w:rPr>
                <w:rFonts w:ascii="Times New Roman" w:hAnsi="Times New Roman"/>
                <w:color w:val="000000"/>
                <w:shd w:val="clear" w:color="auto" w:fill="FDFEFD"/>
              </w:rPr>
            </w:pPr>
            <w:proofErr w:type="spellStart"/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>Хлоргексидін</w:t>
            </w:r>
            <w:proofErr w:type="spellEnd"/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 xml:space="preserve"> </w:t>
            </w:r>
            <w:r w:rsidRPr="00462C0F">
              <w:rPr>
                <w:rFonts w:ascii="Times New Roman" w:hAnsi="Times New Roman"/>
                <w:color w:val="000000"/>
                <w:shd w:val="clear" w:color="auto" w:fill="FDFEFD"/>
                <w:lang w:val="uk-UA"/>
              </w:rPr>
              <w:t>розчин для зовнішнього застосування</w:t>
            </w:r>
            <w:r w:rsidRPr="00462C0F">
              <w:rPr>
                <w:rFonts w:ascii="Times New Roman" w:hAnsi="Times New Roman"/>
                <w:color w:val="000000"/>
                <w:shd w:val="clear" w:color="auto" w:fill="FDFEFD"/>
              </w:rPr>
              <w:t xml:space="preserve"> 0,05 % 200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62032" w14:textId="13B20A9F" w:rsidR="00462C0F" w:rsidRPr="00462C0F" w:rsidRDefault="00462C0F" w:rsidP="00462C0F">
            <w:pPr>
              <w:spacing w:after="0" w:line="300" w:lineRule="atLeast"/>
              <w:textAlignment w:val="baseline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462C0F">
              <w:rPr>
                <w:rFonts w:ascii="Times New Roman" w:hAnsi="Times New Roman"/>
                <w:color w:val="000000"/>
              </w:rPr>
              <w:br/>
            </w:r>
            <w:r w:rsidR="00D82DAD">
              <w:rPr>
                <w:rFonts w:ascii="Times New Roman" w:hAnsi="Times New Roman"/>
                <w:color w:val="000000"/>
                <w:lang w:val="uk-UA"/>
              </w:rPr>
              <w:t xml:space="preserve">       </w:t>
            </w:r>
            <w:r w:rsidRPr="00462C0F">
              <w:rPr>
                <w:rFonts w:ascii="Times New Roman" w:hAnsi="Times New Roman"/>
                <w:color w:val="000000"/>
              </w:rPr>
              <w:t>33631600-8</w:t>
            </w:r>
          </w:p>
          <w:p w14:paraId="27824FFB" w14:textId="2806C2F9" w:rsidR="00DD45FD" w:rsidRPr="00462C0F" w:rsidRDefault="00DD45FD" w:rsidP="00462C0F">
            <w:pPr>
              <w:shd w:val="clear" w:color="auto" w:fill="FFFFFF"/>
              <w:spacing w:after="300" w:line="495" w:lineRule="atLeast"/>
              <w:ind w:left="15"/>
              <w:outlineLvl w:val="0"/>
              <w:rPr>
                <w:rFonts w:ascii="Times New Roman" w:hAnsi="Times New Roman"/>
                <w:color w:val="000000"/>
                <w:kern w:val="3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431917" w14:textId="5DB1CEC5" w:rsidR="00DD45FD" w:rsidRPr="00462C0F" w:rsidRDefault="00DD45FD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  <w:lang w:val="uk-UA"/>
              </w:rPr>
              <w:t>Пляшка (флакон)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65715" w14:textId="5017113B" w:rsidR="00DD45FD" w:rsidRPr="00462C0F" w:rsidRDefault="00DD45FD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9E2D68" w:rsidRPr="000B1C30" w14:paraId="1E93EC21" w14:textId="77777777" w:rsidTr="009E2D68">
        <w:trPr>
          <w:trHeight w:val="2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A938E" w14:textId="0C0CAFA8" w:rsidR="009E2D68" w:rsidRPr="00462C0F" w:rsidRDefault="0022271B" w:rsidP="005E46D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62C0F">
              <w:rPr>
                <w:rFonts w:ascii="Times New Roman" w:hAnsi="Times New Roman"/>
                <w:b/>
                <w:bCs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606B" w14:textId="77777777" w:rsidR="009E2D68" w:rsidRPr="00462C0F" w:rsidRDefault="009E2D68" w:rsidP="009E2D68">
            <w:pPr>
              <w:rPr>
                <w:rFonts w:ascii="Times New Roman" w:hAnsi="Times New Roman"/>
              </w:rPr>
            </w:pPr>
            <w:proofErr w:type="spellStart"/>
            <w:r w:rsidRPr="00462C0F">
              <w:rPr>
                <w:rFonts w:ascii="Times New Roman" w:hAnsi="Times New Roman"/>
              </w:rPr>
              <w:t>Chloropyramine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9455" w14:textId="5B3545DF" w:rsidR="009E2D68" w:rsidRPr="00A943A6" w:rsidRDefault="009E2D68" w:rsidP="009E2D68">
            <w:pPr>
              <w:pStyle w:val="a6"/>
              <w:rPr>
                <w:rFonts w:ascii="Times New Roman" w:hAnsi="Times New Roman"/>
                <w:lang w:val="uk-UA"/>
              </w:rPr>
            </w:pPr>
            <w:proofErr w:type="spellStart"/>
            <w:r w:rsidRPr="00462C0F">
              <w:rPr>
                <w:rFonts w:ascii="Times New Roman" w:hAnsi="Times New Roman"/>
                <w:lang w:val="uk-UA"/>
              </w:rPr>
              <w:t>Супрастин</w:t>
            </w:r>
            <w:proofErr w:type="spellEnd"/>
            <w:r w:rsidRPr="00462C0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62C0F">
              <w:rPr>
                <w:rFonts w:ascii="Times New Roman" w:hAnsi="Times New Roman"/>
              </w:rPr>
              <w:t>розчин</w:t>
            </w:r>
            <w:proofErr w:type="spellEnd"/>
            <w:r w:rsidRPr="00462C0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62C0F">
              <w:rPr>
                <w:rFonts w:ascii="Times New Roman" w:hAnsi="Times New Roman"/>
              </w:rPr>
              <w:t>ін'єкцій</w:t>
            </w:r>
            <w:proofErr w:type="spellEnd"/>
            <w:r w:rsidRPr="00462C0F">
              <w:rPr>
                <w:rFonts w:ascii="Times New Roman" w:hAnsi="Times New Roman"/>
              </w:rPr>
              <w:t xml:space="preserve">, 20 мг/мл, по 1 мл в </w:t>
            </w:r>
            <w:proofErr w:type="spellStart"/>
            <w:r w:rsidRPr="00462C0F">
              <w:rPr>
                <w:rFonts w:ascii="Times New Roman" w:hAnsi="Times New Roman"/>
              </w:rPr>
              <w:t>ампулі</w:t>
            </w:r>
            <w:proofErr w:type="spellEnd"/>
            <w:r w:rsidRPr="00462C0F">
              <w:rPr>
                <w:rFonts w:ascii="Times New Roman" w:hAnsi="Times New Roman"/>
              </w:rPr>
              <w:t xml:space="preserve">; по 5 ампул </w:t>
            </w:r>
            <w:r w:rsidR="00A943A6">
              <w:rPr>
                <w:rFonts w:ascii="Times New Roman" w:hAnsi="Times New Roman"/>
                <w:lang w:val="uk-UA"/>
              </w:rPr>
              <w:t>в упаковці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DD58D8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</w:rPr>
            </w:pPr>
            <w:r w:rsidRPr="00462C0F">
              <w:rPr>
                <w:rFonts w:ascii="Times New Roman" w:hAnsi="Times New Roman"/>
              </w:rPr>
              <w:t>33675000-2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A639BF" w14:textId="77777777" w:rsidR="009E2D68" w:rsidRPr="00462C0F" w:rsidRDefault="009E2D68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 w:rsidRPr="00462C0F">
              <w:rPr>
                <w:rFonts w:ascii="Times New Roman" w:hAnsi="Times New Roman"/>
              </w:rPr>
              <w:t>Упаковка</w:t>
            </w:r>
            <w:r w:rsidRPr="00462C0F">
              <w:rPr>
                <w:rFonts w:ascii="Times New Roman" w:hAnsi="Times New Roman"/>
                <w:lang w:val="uk-UA"/>
              </w:rPr>
              <w:t xml:space="preserve"> (пачка)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24814" w14:textId="2530A456" w:rsidR="009E2D68" w:rsidRPr="00462C0F" w:rsidRDefault="00490CBA" w:rsidP="009E2D68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DB40BD" w:rsidRPr="00462C0F"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14:paraId="21B7A05B" w14:textId="73C4D29C" w:rsidR="009C45EF" w:rsidRPr="005E46D4" w:rsidRDefault="005E46D4" w:rsidP="000376DC">
      <w:pPr>
        <w:spacing w:line="264" w:lineRule="auto"/>
        <w:ind w:firstLine="708"/>
        <w:jc w:val="both"/>
        <w:rPr>
          <w:szCs w:val="20"/>
          <w:lang w:val="uk-UA"/>
        </w:rPr>
      </w:pPr>
      <w:r w:rsidRPr="00F91BF3">
        <w:rPr>
          <w:rFonts w:ascii="Times New Roman" w:hAnsi="Times New Roman"/>
          <w:b/>
          <w:bCs/>
          <w:i/>
          <w:color w:val="000000"/>
          <w:u w:val="single"/>
          <w:lang w:val="uk-UA"/>
        </w:rPr>
        <w:t>Примітка:</w:t>
      </w:r>
      <w:r w:rsidRPr="00F91BF3">
        <w:rPr>
          <w:rFonts w:ascii="Times New Roman" w:hAnsi="Times New Roman"/>
          <w:b/>
          <w:bCs/>
          <w:i/>
          <w:color w:val="000000"/>
          <w:lang w:val="uk-UA"/>
        </w:rPr>
        <w:t xml:space="preserve"> </w:t>
      </w:r>
      <w:r w:rsidRPr="00F91BF3">
        <w:rPr>
          <w:rFonts w:ascii="Times New Roman" w:hAnsi="Times New Roman"/>
          <w:b/>
          <w:bCs/>
          <w:i/>
          <w:iCs/>
          <w:color w:val="000000"/>
          <w:lang w:val="uk-UA"/>
        </w:rPr>
        <w:t xml:space="preserve">у разі, коли в описі предмета закупівлі </w:t>
      </w:r>
      <w:r w:rsidRPr="00F91BF3">
        <w:rPr>
          <w:rFonts w:ascii="Times New Roman" w:hAnsi="Times New Roman"/>
          <w:b/>
          <w:i/>
          <w:color w:val="00000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9C45EF" w:rsidRPr="005E46D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7EB"/>
    <w:multiLevelType w:val="hybridMultilevel"/>
    <w:tmpl w:val="090A4520"/>
    <w:lvl w:ilvl="0" w:tplc="8A740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7A78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E6286"/>
    <w:multiLevelType w:val="hybridMultilevel"/>
    <w:tmpl w:val="0D68B34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4122"/>
    <w:multiLevelType w:val="hybridMultilevel"/>
    <w:tmpl w:val="C84E063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67499"/>
    <w:multiLevelType w:val="hybridMultilevel"/>
    <w:tmpl w:val="92844964"/>
    <w:lvl w:ilvl="0" w:tplc="B2ACF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11699483">
    <w:abstractNumId w:val="3"/>
  </w:num>
  <w:num w:numId="2" w16cid:durableId="5254837">
    <w:abstractNumId w:val="0"/>
  </w:num>
  <w:num w:numId="3" w16cid:durableId="715474312">
    <w:abstractNumId w:val="2"/>
  </w:num>
  <w:num w:numId="4" w16cid:durableId="8323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E1"/>
    <w:rsid w:val="000038E4"/>
    <w:rsid w:val="00010EC9"/>
    <w:rsid w:val="0001769F"/>
    <w:rsid w:val="000376DC"/>
    <w:rsid w:val="000450BE"/>
    <w:rsid w:val="000864C9"/>
    <w:rsid w:val="000943DB"/>
    <w:rsid w:val="000C25CE"/>
    <w:rsid w:val="000C6ECA"/>
    <w:rsid w:val="000C7C8C"/>
    <w:rsid w:val="000D47A0"/>
    <w:rsid w:val="000E2838"/>
    <w:rsid w:val="00116C74"/>
    <w:rsid w:val="00154416"/>
    <w:rsid w:val="001740FC"/>
    <w:rsid w:val="0019108F"/>
    <w:rsid w:val="001B288A"/>
    <w:rsid w:val="001B7ACC"/>
    <w:rsid w:val="001C01C6"/>
    <w:rsid w:val="001C1D0B"/>
    <w:rsid w:val="001E0EEF"/>
    <w:rsid w:val="00207E4C"/>
    <w:rsid w:val="0022271B"/>
    <w:rsid w:val="00275B1D"/>
    <w:rsid w:val="00287B8A"/>
    <w:rsid w:val="002A1136"/>
    <w:rsid w:val="002E2258"/>
    <w:rsid w:val="002F5736"/>
    <w:rsid w:val="00325564"/>
    <w:rsid w:val="0036088C"/>
    <w:rsid w:val="00373BFC"/>
    <w:rsid w:val="003A0A51"/>
    <w:rsid w:val="003A558F"/>
    <w:rsid w:val="003C2516"/>
    <w:rsid w:val="003C4746"/>
    <w:rsid w:val="003D7BBA"/>
    <w:rsid w:val="003E01D9"/>
    <w:rsid w:val="003F1A57"/>
    <w:rsid w:val="00401FAC"/>
    <w:rsid w:val="00462C0F"/>
    <w:rsid w:val="00474019"/>
    <w:rsid w:val="00490CBA"/>
    <w:rsid w:val="00497A22"/>
    <w:rsid w:val="004A3311"/>
    <w:rsid w:val="004B158C"/>
    <w:rsid w:val="004B2FB4"/>
    <w:rsid w:val="004B33DB"/>
    <w:rsid w:val="004C5C35"/>
    <w:rsid w:val="004E362B"/>
    <w:rsid w:val="004F0717"/>
    <w:rsid w:val="00503DAD"/>
    <w:rsid w:val="00525750"/>
    <w:rsid w:val="0056163D"/>
    <w:rsid w:val="00565D00"/>
    <w:rsid w:val="0059345C"/>
    <w:rsid w:val="005977B4"/>
    <w:rsid w:val="005A55B7"/>
    <w:rsid w:val="005D1699"/>
    <w:rsid w:val="005E46D4"/>
    <w:rsid w:val="005F5CC4"/>
    <w:rsid w:val="006461A0"/>
    <w:rsid w:val="00671698"/>
    <w:rsid w:val="00672FCD"/>
    <w:rsid w:val="006961E1"/>
    <w:rsid w:val="006A20D7"/>
    <w:rsid w:val="006A3466"/>
    <w:rsid w:val="006B02FD"/>
    <w:rsid w:val="006B070E"/>
    <w:rsid w:val="006B1362"/>
    <w:rsid w:val="006C4BA6"/>
    <w:rsid w:val="006C65D2"/>
    <w:rsid w:val="006E01A9"/>
    <w:rsid w:val="007015BF"/>
    <w:rsid w:val="00703CD4"/>
    <w:rsid w:val="00721A4E"/>
    <w:rsid w:val="00742807"/>
    <w:rsid w:val="00785A30"/>
    <w:rsid w:val="007B64EC"/>
    <w:rsid w:val="0084396A"/>
    <w:rsid w:val="00853357"/>
    <w:rsid w:val="00894E2B"/>
    <w:rsid w:val="008B0B16"/>
    <w:rsid w:val="008C30D6"/>
    <w:rsid w:val="008C5CC0"/>
    <w:rsid w:val="008E7172"/>
    <w:rsid w:val="008F4BC7"/>
    <w:rsid w:val="00923E6F"/>
    <w:rsid w:val="00933FAD"/>
    <w:rsid w:val="00963F2C"/>
    <w:rsid w:val="00990FB3"/>
    <w:rsid w:val="009975ED"/>
    <w:rsid w:val="009A53FD"/>
    <w:rsid w:val="009C0FC1"/>
    <w:rsid w:val="009C45EF"/>
    <w:rsid w:val="009D4876"/>
    <w:rsid w:val="009E0D1B"/>
    <w:rsid w:val="009E2D68"/>
    <w:rsid w:val="009E4DEA"/>
    <w:rsid w:val="009E7D91"/>
    <w:rsid w:val="009F46D2"/>
    <w:rsid w:val="00A26BEB"/>
    <w:rsid w:val="00A31836"/>
    <w:rsid w:val="00A9127E"/>
    <w:rsid w:val="00A943A6"/>
    <w:rsid w:val="00AA1973"/>
    <w:rsid w:val="00AC7C75"/>
    <w:rsid w:val="00AD25C9"/>
    <w:rsid w:val="00B23760"/>
    <w:rsid w:val="00B570BB"/>
    <w:rsid w:val="00BB261D"/>
    <w:rsid w:val="00BC4D25"/>
    <w:rsid w:val="00BC5FDB"/>
    <w:rsid w:val="00BE0C64"/>
    <w:rsid w:val="00BE0E49"/>
    <w:rsid w:val="00BE3DB1"/>
    <w:rsid w:val="00BE3DF7"/>
    <w:rsid w:val="00BF5D5C"/>
    <w:rsid w:val="00C21430"/>
    <w:rsid w:val="00C24826"/>
    <w:rsid w:val="00C27847"/>
    <w:rsid w:val="00C454B4"/>
    <w:rsid w:val="00CA1216"/>
    <w:rsid w:val="00CD2B30"/>
    <w:rsid w:val="00CF483E"/>
    <w:rsid w:val="00CF5C09"/>
    <w:rsid w:val="00D02FC2"/>
    <w:rsid w:val="00D11274"/>
    <w:rsid w:val="00D21DD4"/>
    <w:rsid w:val="00D534B9"/>
    <w:rsid w:val="00D5716D"/>
    <w:rsid w:val="00D651DD"/>
    <w:rsid w:val="00D82DAD"/>
    <w:rsid w:val="00D87340"/>
    <w:rsid w:val="00DA0679"/>
    <w:rsid w:val="00DA4C64"/>
    <w:rsid w:val="00DB30AA"/>
    <w:rsid w:val="00DB40BD"/>
    <w:rsid w:val="00DB5991"/>
    <w:rsid w:val="00DD45FD"/>
    <w:rsid w:val="00E15873"/>
    <w:rsid w:val="00E2529C"/>
    <w:rsid w:val="00E4189B"/>
    <w:rsid w:val="00E6169A"/>
    <w:rsid w:val="00E8274B"/>
    <w:rsid w:val="00E928E7"/>
    <w:rsid w:val="00E97E38"/>
    <w:rsid w:val="00EB1DC5"/>
    <w:rsid w:val="00EE65A6"/>
    <w:rsid w:val="00EE6F9A"/>
    <w:rsid w:val="00F03FC7"/>
    <w:rsid w:val="00F11841"/>
    <w:rsid w:val="00F66379"/>
    <w:rsid w:val="00F8630C"/>
    <w:rsid w:val="00FA1325"/>
    <w:rsid w:val="00FA514D"/>
    <w:rsid w:val="00FB7B81"/>
    <w:rsid w:val="00FF026B"/>
    <w:rsid w:val="00FF3D57"/>
    <w:rsid w:val="00FF5D62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A132"/>
  <w15:docId w15:val="{A500C6C3-82FF-4645-8204-7369B978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30C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462C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rsid w:val="0015441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 w:eastAsia="ar-SA"/>
    </w:rPr>
  </w:style>
  <w:style w:type="character" w:customStyle="1" w:styleId="ListParagraphChar">
    <w:name w:val="List Paragraph Char"/>
    <w:link w:val="11"/>
    <w:locked/>
    <w:rsid w:val="00154416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154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E8274B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 Spacing"/>
    <w:link w:val="a7"/>
    <w:uiPriority w:val="1"/>
    <w:qFormat/>
    <w:rsid w:val="006B02FD"/>
    <w:rPr>
      <w:sz w:val="22"/>
      <w:szCs w:val="22"/>
      <w:lang w:val="ru-RU" w:eastAsia="ru-RU"/>
    </w:rPr>
  </w:style>
  <w:style w:type="paragraph" w:styleId="a8">
    <w:name w:val="header"/>
    <w:basedOn w:val="a"/>
    <w:link w:val="a9"/>
    <w:uiPriority w:val="99"/>
    <w:rsid w:val="005E46D4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ій колонтитул Знак"/>
    <w:basedOn w:val="a0"/>
    <w:link w:val="a8"/>
    <w:uiPriority w:val="99"/>
    <w:rsid w:val="005E46D4"/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Без інтервалів Знак"/>
    <w:link w:val="a6"/>
    <w:uiPriority w:val="1"/>
    <w:locked/>
    <w:rsid w:val="005E46D4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62C0F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EF10-6F97-4D2C-8D88-47FA664B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3382</Words>
  <Characters>1928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29</cp:revision>
  <cp:lastPrinted>2023-03-07T10:25:00Z</cp:lastPrinted>
  <dcterms:created xsi:type="dcterms:W3CDTF">2022-01-19T09:58:00Z</dcterms:created>
  <dcterms:modified xsi:type="dcterms:W3CDTF">2023-03-22T07:49:00Z</dcterms:modified>
</cp:coreProperties>
</file>