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1E43" w14:textId="77777777" w:rsidR="00EB3748" w:rsidRDefault="00EB37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7A731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821558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4F5B4C7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125160D" w14:textId="77777777" w:rsidR="00EB374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6CBDB46" w14:textId="77777777" w:rsidR="00EB374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5A7CB4B" w14:textId="49A72B80" w:rsidR="00EB3748" w:rsidRDefault="00EB37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B3748" w14:paraId="1CFE333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E54B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616A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D9F4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B3748" w14:paraId="39219D90" w14:textId="77777777" w:rsidTr="006F25AB">
        <w:trPr>
          <w:trHeight w:val="188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B890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8EC" w14:textId="7490A073" w:rsidR="00EB3748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38D" w14:textId="08773E67" w:rsidR="007B5B1A" w:rsidRPr="006F25AB" w:rsidRDefault="00000000" w:rsidP="007B5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7B5B1A"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обладнання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бази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технологій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 та</w:t>
            </w:r>
            <w:proofErr w:type="gram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виробництво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є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оптову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роздрібну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торгівлю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товаром (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чинну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дату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розкриття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тендерних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пропозицій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), за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реалізація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цих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потребує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такої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="00566700"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76E9A49" w14:textId="05CE44AF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7E1605C5" w14:textId="77777777" w:rsidTr="00043C91">
        <w:trPr>
          <w:trHeight w:val="16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C3F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C0B" w14:textId="45CEBE5D" w:rsidR="007B5B1A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</w:p>
          <w:p w14:paraId="2E457BA1" w14:textId="029DA873" w:rsidR="00EB374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58E" w14:textId="61A19E1A" w:rsidR="007E3BCD" w:rsidRPr="006F25AB" w:rsidRDefault="00566700" w:rsidP="007E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мають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необхідні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знання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досвід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14:paraId="34A020C5" w14:textId="6A5F6151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469F9EA5" w14:textId="77777777" w:rsidTr="002569D1">
        <w:trPr>
          <w:trHeight w:val="21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5F76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650" w14:textId="77777777" w:rsidR="00EB374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96DB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3A4F9C" w14:textId="0E69E7F3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</w:t>
            </w:r>
            <w:proofErr w:type="spellStart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виконаного в 202</w:t>
            </w:r>
            <w:r w:rsidR="004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</w:t>
            </w:r>
          </w:p>
          <w:p w14:paraId="7A733011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007EBE5" w14:textId="1ABE1722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673EF542" w14:textId="77777777" w:rsidR="00B27752" w:rsidRDefault="00B27752" w:rsidP="0014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C256EC7" w14:textId="719B209C" w:rsidR="00EB3748" w:rsidRPr="00B27752" w:rsidRDefault="00141393" w:rsidP="0014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(окрім специфікації)</w:t>
            </w:r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BC52EC2" w14:textId="37053AF1" w:rsidR="00EB3748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F63D2" w14:textId="77777777" w:rsidR="00EB374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11141ACE" w14:textId="77777777" w:rsidR="00165107" w:rsidRDefault="00165107" w:rsidP="0016510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7FE288" w14:textId="0F281E03" w:rsidR="00165107" w:rsidRPr="00165107" w:rsidRDefault="00165107" w:rsidP="00165107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165107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Pr="00165107">
        <w:rPr>
          <w:rFonts w:ascii="Times New Roman" w:eastAsia="Times New Roman" w:hAnsi="Times New Roman" w:cs="Times New Roman"/>
        </w:rPr>
        <w:t>числі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65107">
        <w:rPr>
          <w:rFonts w:ascii="Times New Roman" w:eastAsia="Times New Roman" w:hAnsi="Times New Roman" w:cs="Times New Roman"/>
        </w:rPr>
        <w:t>об’єднання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</w:rPr>
        <w:t>учасників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165107">
        <w:rPr>
          <w:rFonts w:ascii="Times New Roman" w:eastAsia="Times New Roman" w:hAnsi="Times New Roman" w:cs="Times New Roman"/>
        </w:rPr>
        <w:t>учасника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65107">
        <w:rPr>
          <w:rFonts w:ascii="Times New Roman" w:eastAsia="Times New Roman" w:hAnsi="Times New Roman" w:cs="Times New Roman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)  </w:t>
      </w:r>
      <w:proofErr w:type="spellStart"/>
      <w:r w:rsidRPr="00165107">
        <w:rPr>
          <w:rFonts w:ascii="Times New Roman" w:eastAsia="Times New Roman" w:hAnsi="Times New Roman" w:cs="Times New Roman"/>
        </w:rPr>
        <w:t>вимогам</w:t>
      </w:r>
      <w:proofErr w:type="spellEnd"/>
      <w:proofErr w:type="gramEnd"/>
      <w:r w:rsidRPr="001651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</w:rPr>
        <w:t>визначеним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</w:rPr>
        <w:t>пункті</w:t>
      </w:r>
      <w:proofErr w:type="spellEnd"/>
      <w:r w:rsidRPr="00165107">
        <w:rPr>
          <w:rFonts w:ascii="Times New Roman" w:eastAsia="Times New Roman" w:hAnsi="Times New Roman" w:cs="Times New Roman"/>
        </w:rPr>
        <w:t xml:space="preserve"> 44 </w:t>
      </w:r>
      <w:proofErr w:type="spellStart"/>
      <w:r w:rsidRPr="00165107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</w:rPr>
        <w:t>.</w:t>
      </w:r>
    </w:p>
    <w:p w14:paraId="312253D3" w14:textId="77777777" w:rsidR="00165107" w:rsidRPr="00165107" w:rsidRDefault="00165107" w:rsidP="00165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44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65107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пункту 44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F68605" w14:textId="77777777" w:rsidR="00165107" w:rsidRPr="00165107" w:rsidRDefault="00165107" w:rsidP="001651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44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шляхом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самостійного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декларування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відсутності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таких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80226A" w14:textId="77777777" w:rsidR="00165107" w:rsidRPr="00165107" w:rsidRDefault="00165107" w:rsidP="001651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14 пункту 44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lastRenderedPageBreak/>
        <w:t>достатнім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4B0EF3" w14:textId="77777777" w:rsidR="00165107" w:rsidRDefault="00165107" w:rsidP="00AA42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C2BAE2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6884DAF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16192DC2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19B7E136" w14:textId="77777777" w:rsidR="00165107" w:rsidRPr="00165107" w:rsidRDefault="00165107" w:rsidP="00165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165107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165107">
        <w:rPr>
          <w:rFonts w:ascii="Times New Roman" w:eastAsia="Times New Roman" w:hAnsi="Times New Roman" w:cs="Times New Roman"/>
          <w:b/>
        </w:rPr>
        <w:t xml:space="preserve"> 44 </w:t>
      </w:r>
      <w:proofErr w:type="spellStart"/>
      <w:r w:rsidRPr="00165107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  <w:b/>
        </w:rPr>
        <w:t>:</w:t>
      </w:r>
    </w:p>
    <w:p w14:paraId="3E47986D" w14:textId="77777777" w:rsidR="00165107" w:rsidRPr="00165107" w:rsidRDefault="00165107" w:rsidP="001651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чотири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дні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пункту 44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BAF7632" w14:textId="77777777" w:rsidR="00165107" w:rsidRPr="00165107" w:rsidRDefault="00165107" w:rsidP="001651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510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16510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75564BE1" w14:textId="77777777" w:rsidR="00165107" w:rsidRDefault="00165107" w:rsidP="001651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0AA9F047" w14:textId="77777777" w:rsidR="00165107" w:rsidRDefault="00165107" w:rsidP="00165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65107" w14:paraId="6CDAADD8" w14:textId="77777777" w:rsidTr="00F6230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78E2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CF14C91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480A" w14:textId="77777777" w:rsidR="00165107" w:rsidRP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44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5EBFA104" w14:textId="77777777" w:rsidR="00165107" w:rsidRP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FA2E" w14:textId="77777777" w:rsidR="00165107" w:rsidRP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44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65107" w14:paraId="576F82E6" w14:textId="77777777" w:rsidTr="00F6230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307B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9FA6" w14:textId="77777777" w:rsidR="00165107" w:rsidRPr="00165107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DB56949" w14:textId="77777777" w:rsidR="00165107" w:rsidRPr="00165107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0863" w14:textId="77777777" w:rsidR="00165107" w:rsidRPr="00165107" w:rsidRDefault="00165107" w:rsidP="00F623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65107" w14:paraId="1D68BCB4" w14:textId="77777777" w:rsidTr="00033806">
        <w:trPr>
          <w:trHeight w:val="115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8F96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6C1E" w14:textId="77777777" w:rsidR="00165107" w:rsidRPr="00165107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892BA33" w14:textId="77777777" w:rsidR="00165107" w:rsidRPr="00165107" w:rsidRDefault="00165107" w:rsidP="00F623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44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985C" w14:textId="00126AA8" w:rsidR="00F47DBA" w:rsidRPr="00165107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4478F79" w14:textId="030F613F" w:rsidR="00165107" w:rsidRDefault="00033806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857DA91" w14:textId="769AD999" w:rsidR="00165107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DBA" w14:paraId="0BE1BBD0" w14:textId="77777777" w:rsidTr="00F47DB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519" w14:textId="77777777" w:rsidR="00F47DBA" w:rsidRDefault="00F47DBA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64E5" w14:textId="77777777" w:rsidR="00F47DBA" w:rsidRPr="00165107" w:rsidRDefault="00F47DBA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85DA" w14:textId="77777777" w:rsidR="00F47DBA" w:rsidRDefault="00F47DBA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5107" w14:paraId="6E887076" w14:textId="77777777" w:rsidTr="00F47DB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190C" w14:textId="77777777" w:rsidR="00F47DBA" w:rsidRDefault="00F47DBA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1BF891" w14:textId="1CEAC09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AED7" w14:textId="77777777" w:rsidR="00165107" w:rsidRPr="00165107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30F319D" w14:textId="77777777" w:rsidR="00165107" w:rsidRPr="00165107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4720" w14:textId="49FF9A3D" w:rsidR="00165107" w:rsidRPr="00165107" w:rsidRDefault="00033806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165107" w14:paraId="16308FE1" w14:textId="77777777" w:rsidTr="00F6230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56E8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B576" w14:textId="77777777" w:rsidR="00165107" w:rsidRPr="00165107" w:rsidRDefault="00165107" w:rsidP="00F6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5CCF25AB" w14:textId="77777777" w:rsidR="00165107" w:rsidRPr="00165107" w:rsidRDefault="00165107" w:rsidP="00F6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EBA3" w14:textId="77777777" w:rsidR="00165107" w:rsidRPr="00165107" w:rsidRDefault="00165107" w:rsidP="00F6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65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00C5F09" w14:textId="77777777" w:rsidR="00165107" w:rsidRDefault="00165107" w:rsidP="00165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A6D43B" w14:textId="77777777" w:rsidR="00165107" w:rsidRDefault="00165107" w:rsidP="001651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65107" w14:paraId="337F9F5A" w14:textId="77777777" w:rsidTr="00F6230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ADDA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FA27CE8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9BBC" w14:textId="77777777" w:rsidR="00165107" w:rsidRPr="00033806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7AC951C3" w14:textId="77777777" w:rsidR="00165107" w:rsidRPr="00033806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9736" w14:textId="77777777" w:rsidR="00165107" w:rsidRPr="00033806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65107" w14:paraId="50DED3B8" w14:textId="77777777" w:rsidTr="00F6230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0408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738F" w14:textId="77777777" w:rsidR="00165107" w:rsidRPr="00033806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6207D1" w14:textId="77777777" w:rsidR="00165107" w:rsidRPr="00033806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D915" w14:textId="77777777" w:rsidR="00165107" w:rsidRPr="00033806" w:rsidRDefault="00165107" w:rsidP="00F623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65107" w14:paraId="452BE218" w14:textId="77777777" w:rsidTr="0003380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1290" w14:textId="77777777" w:rsidR="00165107" w:rsidRPr="00033806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42F" w14:textId="77777777" w:rsidR="00165107" w:rsidRPr="00033806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1E71FFEB" w14:textId="77777777" w:rsidR="00165107" w:rsidRPr="00033806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44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A2FB" w14:textId="77777777" w:rsidR="00165107" w:rsidRPr="00033806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51BFC66B" w14:textId="7E9C7934" w:rsidR="00165107" w:rsidRPr="00033806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107" w14:paraId="429277DE" w14:textId="77777777" w:rsidTr="0003380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89C9" w14:textId="77777777" w:rsidR="00165107" w:rsidRPr="00033806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C068" w14:textId="77777777" w:rsidR="00165107" w:rsidRPr="00033806" w:rsidRDefault="00165107" w:rsidP="00F62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6412E32" w14:textId="77777777" w:rsidR="00165107" w:rsidRPr="00033806" w:rsidRDefault="00165107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1AE4" w14:textId="369F4C17" w:rsidR="00165107" w:rsidRPr="00033806" w:rsidRDefault="008D1EC4" w:rsidP="00F6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165107" w14:paraId="27B79F52" w14:textId="77777777" w:rsidTr="00F6230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4DBA" w14:textId="77777777" w:rsidR="00165107" w:rsidRPr="00033806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9664" w14:textId="77777777" w:rsidR="00165107" w:rsidRPr="00033806" w:rsidRDefault="00165107" w:rsidP="00F6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7752830" w14:textId="77777777" w:rsidR="00165107" w:rsidRPr="00033806" w:rsidRDefault="00165107" w:rsidP="00F6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7336" w14:textId="77777777" w:rsidR="00165107" w:rsidRPr="00033806" w:rsidRDefault="00165107" w:rsidP="00F6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3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A67CD90" w14:textId="77777777" w:rsidR="00165107" w:rsidRDefault="00165107" w:rsidP="0016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45FB6C" w14:textId="77777777" w:rsidR="00165107" w:rsidRDefault="00165107" w:rsidP="0016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65107" w14:paraId="09DD48FD" w14:textId="77777777" w:rsidTr="00F6230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1D3" w14:textId="77777777" w:rsidR="00165107" w:rsidRDefault="00165107" w:rsidP="00F623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65107" w14:paraId="2312DE9F" w14:textId="77777777" w:rsidTr="00F6230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C145" w14:textId="77777777" w:rsidR="00165107" w:rsidRDefault="00165107" w:rsidP="00F6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1FC0" w14:textId="77777777" w:rsidR="00165107" w:rsidRDefault="00165107" w:rsidP="00F623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165107" w14:paraId="6E3A05CD" w14:textId="77777777" w:rsidTr="00F6230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3362" w14:textId="77777777" w:rsidR="00165107" w:rsidRDefault="00165107" w:rsidP="00F623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0439" w14:textId="77777777" w:rsidR="00165107" w:rsidRDefault="00165107" w:rsidP="00F6230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165107" w14:paraId="70365A90" w14:textId="77777777" w:rsidTr="00F6230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767E" w14:textId="77777777" w:rsidR="00165107" w:rsidRDefault="00165107" w:rsidP="00F623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A4B4" w14:textId="77777777" w:rsidR="00165107" w:rsidRPr="008D1EC4" w:rsidRDefault="00165107" w:rsidP="00F623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гривень (у тому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6">
              <w:r w:rsidRPr="008D1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та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8D1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3D49F5" w14:textId="77777777" w:rsidR="00165107" w:rsidRDefault="00165107" w:rsidP="00165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4B41BF" w14:textId="77777777" w:rsidR="00165107" w:rsidRDefault="00165107" w:rsidP="00165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p w14:paraId="5EFD36A1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B37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C68"/>
    <w:multiLevelType w:val="multilevel"/>
    <w:tmpl w:val="B3F66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6B6BAE"/>
    <w:multiLevelType w:val="hybridMultilevel"/>
    <w:tmpl w:val="93A49CF6"/>
    <w:lvl w:ilvl="0" w:tplc="6DB8B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0544">
    <w:abstractNumId w:val="0"/>
  </w:num>
  <w:num w:numId="2" w16cid:durableId="2411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8"/>
    <w:rsid w:val="00033806"/>
    <w:rsid w:val="00043C91"/>
    <w:rsid w:val="00141393"/>
    <w:rsid w:val="00165107"/>
    <w:rsid w:val="001F5562"/>
    <w:rsid w:val="002569D1"/>
    <w:rsid w:val="002A7EAE"/>
    <w:rsid w:val="00412F8B"/>
    <w:rsid w:val="00566700"/>
    <w:rsid w:val="00622A81"/>
    <w:rsid w:val="006F25AB"/>
    <w:rsid w:val="007B5B1A"/>
    <w:rsid w:val="007B5F87"/>
    <w:rsid w:val="007E3BCD"/>
    <w:rsid w:val="008B1BBC"/>
    <w:rsid w:val="008D1EC4"/>
    <w:rsid w:val="00AA4202"/>
    <w:rsid w:val="00B133F0"/>
    <w:rsid w:val="00B27752"/>
    <w:rsid w:val="00D62BB6"/>
    <w:rsid w:val="00EB3748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DC8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A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8623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Olena</cp:lastModifiedBy>
  <cp:revision>2</cp:revision>
  <dcterms:created xsi:type="dcterms:W3CDTF">2023-03-17T13:27:00Z</dcterms:created>
  <dcterms:modified xsi:type="dcterms:W3CDTF">2023-03-17T13:27:00Z</dcterms:modified>
</cp:coreProperties>
</file>