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E" w:rsidRPr="00A20E3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20E37">
        <w:rPr>
          <w:rFonts w:ascii="Times New Roman" w:hAnsi="Times New Roman"/>
          <w:b/>
          <w:bCs/>
          <w:iCs/>
          <w:sz w:val="24"/>
          <w:szCs w:val="24"/>
        </w:rPr>
        <w:t>Додаток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A20E37">
        <w:rPr>
          <w:rFonts w:ascii="Times New Roman" w:hAnsi="Times New Roman"/>
          <w:b/>
          <w:bCs/>
          <w:iCs/>
          <w:sz w:val="24"/>
          <w:szCs w:val="24"/>
        </w:rPr>
        <w:t xml:space="preserve"> до тендерної документації</w:t>
      </w:r>
    </w:p>
    <w:p w:rsidR="00A06306" w:rsidRDefault="00EA36EC" w:rsidP="004B15A9">
      <w:pPr>
        <w:jc w:val="both"/>
      </w:pPr>
      <w:r>
        <w:t xml:space="preserve">  </w:t>
      </w:r>
    </w:p>
    <w:p w:rsidR="006F0A23" w:rsidRPr="00DD32BD" w:rsidRDefault="006F0A23" w:rsidP="006F0A23">
      <w:pPr>
        <w:shd w:val="clear" w:color="auto" w:fill="FFFFFF"/>
        <w:suppressAutoHyphens/>
        <w:spacing w:before="240" w:after="240" w:line="254" w:lineRule="auto"/>
        <w:ind w:right="154"/>
        <w:jc w:val="center"/>
        <w:rPr>
          <w:rFonts w:ascii="Times New Roman" w:eastAsia="Times New Roman" w:hAnsi="Times New Roman"/>
          <w:lang w:eastAsia="zh-CN"/>
        </w:rPr>
      </w:pPr>
      <w:r w:rsidRPr="00DD32BD">
        <w:rPr>
          <w:rFonts w:ascii="Times New Roman" w:eastAsia="Times New Roman" w:hAnsi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 визначених п. 4</w:t>
      </w:r>
      <w:r>
        <w:rPr>
          <w:rFonts w:ascii="Times New Roman" w:eastAsia="Times New Roman" w:hAnsi="Times New Roman"/>
          <w:b/>
          <w:lang w:eastAsia="zh-CN"/>
        </w:rPr>
        <w:t>7</w:t>
      </w:r>
      <w:r w:rsidRPr="00DD32BD">
        <w:rPr>
          <w:rFonts w:ascii="Times New Roman" w:eastAsia="Times New Roman" w:hAnsi="Times New Roman"/>
          <w:b/>
          <w:lang w:eastAsia="zh-CN"/>
        </w:rPr>
        <w:t xml:space="preserve"> </w:t>
      </w:r>
      <w:r w:rsidRPr="00DD32BD">
        <w:rPr>
          <w:rFonts w:ascii="Times New Roman" w:hAnsi="Times New Roman"/>
          <w:b/>
        </w:rPr>
        <w:t>Особливостей</w:t>
      </w:r>
      <w:r>
        <w:rPr>
          <w:rFonts w:ascii="Times New Roman" w:hAnsi="Times New Roman"/>
          <w:b/>
        </w:rPr>
        <w:t xml:space="preserve"> 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DD32BD">
        <w:rPr>
          <w:rFonts w:ascii="Times New Roman" w:hAnsi="Times New Roman"/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абз. 14 п. 4</w:t>
      </w:r>
      <w:r>
        <w:rPr>
          <w:rFonts w:ascii="Times New Roman" w:hAnsi="Times New Roman"/>
          <w:sz w:val="24"/>
          <w:szCs w:val="24"/>
        </w:rPr>
        <w:t>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а саме:</w:t>
      </w:r>
    </w:p>
    <w:p w:rsidR="006F0A23" w:rsidRPr="00DD32BD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підстави, визначеної пунктом 3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правопорушення, яку можна отримати:</w:t>
      </w:r>
      <w:r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 стосовно фізичних осіб, які вчинили корупційні або пов’язані з корупцією правопорушення за посиланням </w:t>
      </w:r>
    </w:p>
    <w:p w:rsidR="006F0A23" w:rsidRPr="00DD32BD" w:rsidRDefault="00B04E13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5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https://corruptinfo.nazk.gov.ua/reference/getpersonalreference/individual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Default="006F0A23" w:rsidP="006F0A23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стосовно юридичних осіб за посиланням </w:t>
      </w:r>
    </w:p>
    <w:p w:rsidR="006F0A23" w:rsidRPr="00DD32BD" w:rsidRDefault="00B04E13" w:rsidP="006F0A23">
      <w:pPr>
        <w:pStyle w:val="a3"/>
        <w:ind w:left="138" w:firstLine="459"/>
        <w:jc w:val="both"/>
        <w:rPr>
          <w:sz w:val="24"/>
          <w:szCs w:val="24"/>
        </w:rPr>
      </w:pPr>
      <w:hyperlink r:id="rId6" w:history="1">
        <w:r w:rsidR="006F0A23" w:rsidRPr="00DD32BD">
          <w:rPr>
            <w:rStyle w:val="a5"/>
            <w:sz w:val="24"/>
            <w:szCs w:val="24"/>
          </w:rPr>
          <w:t>https://corruptinfo.nazk.gov.ua/reference/getpersonalreference/legal</w:t>
        </w:r>
      </w:hyperlink>
      <w:r w:rsidR="006F0A23" w:rsidRPr="00DD32BD">
        <w:rPr>
          <w:rStyle w:val="a5"/>
          <w:sz w:val="24"/>
          <w:szCs w:val="24"/>
        </w:rPr>
        <w:t xml:space="preserve">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Дата документа повинна бути не раніше ніж </w:t>
      </w:r>
      <w:r w:rsidR="002E2522">
        <w:rPr>
          <w:i/>
          <w:sz w:val="24"/>
          <w:szCs w:val="24"/>
        </w:rPr>
        <w:t xml:space="preserve">дата оголошення даної закупівлі. </w:t>
      </w:r>
      <w:r w:rsidR="005D1051">
        <w:rPr>
          <w:i/>
          <w:sz w:val="24"/>
          <w:szCs w:val="24"/>
        </w:rPr>
        <w:t xml:space="preserve"> </w:t>
      </w:r>
    </w:p>
    <w:p w:rsidR="006F0A23" w:rsidRDefault="006F0A23" w:rsidP="006F0A23">
      <w:pPr>
        <w:pStyle w:val="a3"/>
        <w:widowControl/>
        <w:numPr>
          <w:ilvl w:val="0"/>
          <w:numId w:val="1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підстав, визначених пунктами 5, 6 та 12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</w:r>
    </w:p>
    <w:p w:rsidR="006F0A23" w:rsidRPr="00DD32BD" w:rsidRDefault="00B04E13" w:rsidP="006F0A23">
      <w:pPr>
        <w:pStyle w:val="a3"/>
        <w:widowControl/>
        <w:autoSpaceDE/>
        <w:autoSpaceDN/>
        <w:ind w:left="597" w:firstLine="0"/>
        <w:contextualSpacing/>
        <w:jc w:val="both"/>
        <w:rPr>
          <w:sz w:val="24"/>
          <w:szCs w:val="24"/>
        </w:rPr>
      </w:pPr>
      <w:hyperlink r:id="rId7" w:history="1">
        <w:r w:rsidR="006F0A23" w:rsidRPr="00DD32BD">
          <w:rPr>
            <w:rStyle w:val="a5"/>
            <w:sz w:val="24"/>
            <w:szCs w:val="24"/>
          </w:rPr>
          <w:t>https://vytiah.mvs.gov.ua/app/landing</w:t>
        </w:r>
      </w:hyperlink>
      <w:r w:rsidR="006F0A23" w:rsidRPr="00DD32BD">
        <w:rPr>
          <w:rStyle w:val="a5"/>
          <w:sz w:val="24"/>
          <w:szCs w:val="24"/>
        </w:rPr>
        <w:t xml:space="preserve">  </w:t>
      </w:r>
      <w:r w:rsidR="006F0A23" w:rsidRPr="00DD32BD">
        <w:rPr>
          <w:sz w:val="24"/>
          <w:szCs w:val="24"/>
        </w:rPr>
        <w:t xml:space="preserve"> </w:t>
      </w:r>
    </w:p>
    <w:p w:rsidR="006F0A23" w:rsidRPr="00DD32BD" w:rsidRDefault="006F0A23" w:rsidP="006F0A23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Документ повинен бути не більше місячної давнини від дати подання документа. </w:t>
      </w:r>
    </w:p>
    <w:p w:rsidR="006F0A23" w:rsidRPr="00DD32BD" w:rsidRDefault="006F0A23" w:rsidP="006F0A23">
      <w:pPr>
        <w:spacing w:after="0" w:line="240" w:lineRule="auto"/>
        <w:ind w:left="138" w:firstLine="459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  <w:r w:rsidR="006D170B">
        <w:rPr>
          <w:rFonts w:ascii="Times New Roman" w:hAnsi="Times New Roman"/>
          <w:sz w:val="24"/>
          <w:szCs w:val="24"/>
        </w:rPr>
        <w:t xml:space="preserve"> 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723A08">
        <w:rPr>
          <w:rFonts w:ascii="Times New Roman" w:hAnsi="Times New Roman"/>
          <w:i/>
          <w:sz w:val="20"/>
          <w:szCs w:val="20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6F0A23" w:rsidRPr="00723A08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723A08">
        <w:rPr>
          <w:rFonts w:ascii="Times New Roman" w:hAnsi="Times New Roman"/>
          <w:i/>
          <w:sz w:val="20"/>
          <w:szCs w:val="20"/>
          <w:shd w:val="clear" w:color="auto" w:fill="FFFFFF"/>
        </w:rPr>
        <w:t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обгрунтуванням відсутності відповідного документа. Не надання такої довідки прирівнюється до ненадання відповідного документа.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Учасник-переможець процедури закупівлі може надати </w:t>
      </w:r>
      <w:r w:rsidRPr="00DD32BD">
        <w:rPr>
          <w:rFonts w:ascii="Times New Roman" w:hAnsi="Times New Roman"/>
          <w:sz w:val="24"/>
          <w:szCs w:val="24"/>
          <w:shd w:val="clear" w:color="auto" w:fill="FFFFFF"/>
        </w:rPr>
        <w:t>шляхом оприлюднення</w:t>
      </w:r>
      <w:r w:rsidRPr="00DD32BD">
        <w:rPr>
          <w:rFonts w:ascii="Times New Roman" w:hAnsi="Times New Roman"/>
          <w:sz w:val="24"/>
          <w:szCs w:val="24"/>
        </w:rPr>
        <w:t xml:space="preserve"> в Систему додатково інші документи, що підтверджують відсутність</w:t>
      </w:r>
      <w:r>
        <w:rPr>
          <w:rFonts w:ascii="Times New Roman" w:hAnsi="Times New Roman"/>
          <w:sz w:val="24"/>
          <w:szCs w:val="24"/>
        </w:rPr>
        <w:t xml:space="preserve"> інших підстав, визначених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При цьому, відповідальність за достовірність надання інформації несе переможець процедури закупівлі.</w:t>
      </w:r>
    </w:p>
    <w:p w:rsidR="006F0A23" w:rsidRPr="00DD32BD" w:rsidRDefault="006F0A23" w:rsidP="006F0A2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>До уваги учасника-переможця процедури закупівлі!</w:t>
      </w:r>
    </w:p>
    <w:p w:rsidR="006F0A23" w:rsidRPr="006F0A23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 w:rsidRPr="00DD32BD">
        <w:rPr>
          <w:rFonts w:ascii="Times New Roman" w:hAnsi="Times New Roman"/>
          <w:sz w:val="24"/>
          <w:szCs w:val="24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</w:t>
      </w:r>
      <w:r>
        <w:rPr>
          <w:rFonts w:ascii="Times New Roman" w:hAnsi="Times New Roman"/>
          <w:sz w:val="24"/>
          <w:szCs w:val="24"/>
        </w:rPr>
        <w:lastRenderedPageBreak/>
        <w:t>відмови, передбачені п. 47</w:t>
      </w:r>
      <w:r w:rsidRPr="00DD32BD">
        <w:rPr>
          <w:rFonts w:ascii="Times New Roman" w:hAnsi="Times New Roman"/>
          <w:sz w:val="24"/>
          <w:szCs w:val="24"/>
        </w:rPr>
        <w:t xml:space="preserve"> Особливостей, переможець вважається таким, що не надав у </w:t>
      </w:r>
      <w:r w:rsidRPr="006F0A23">
        <w:rPr>
          <w:rFonts w:ascii="Times New Roman" w:hAnsi="Times New Roman"/>
          <w:sz w:val="24"/>
          <w:szCs w:val="24"/>
        </w:rPr>
        <w:t xml:space="preserve">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6F0A23">
          <w:rPr>
            <w:rFonts w:ascii="Times New Roman" w:hAnsi="Times New Roman"/>
            <w:sz w:val="24"/>
            <w:szCs w:val="24"/>
          </w:rPr>
          <w:t>пункту 4</w:t>
        </w:r>
      </w:hyperlink>
      <w:r w:rsidRPr="006F0A23">
        <w:rPr>
          <w:rFonts w:ascii="Times New Roman" w:hAnsi="Times New Roman"/>
          <w:sz w:val="24"/>
          <w:szCs w:val="24"/>
        </w:rPr>
        <w:t>7 Особливостей.</w:t>
      </w:r>
    </w:p>
    <w:p w:rsidR="006F0A23" w:rsidRPr="00DD32BD" w:rsidRDefault="006F0A23" w:rsidP="006F0A23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0A23" w:rsidRPr="00F33C53" w:rsidRDefault="006F0A23" w:rsidP="006F0A23">
      <w:pPr>
        <w:shd w:val="clear" w:color="auto" w:fill="FFFFFF"/>
        <w:suppressAutoHyphens/>
        <w:spacing w:after="120"/>
        <w:ind w:right="412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723A08">
        <w:rPr>
          <w:rFonts w:ascii="Times New Roman" w:hAnsi="Times New Roman"/>
          <w:i/>
          <w:sz w:val="18"/>
          <w:szCs w:val="18"/>
        </w:rPr>
        <w:t>п. 4</w:t>
      </w:r>
      <w:r>
        <w:rPr>
          <w:rFonts w:ascii="Times New Roman" w:hAnsi="Times New Roman"/>
          <w:i/>
          <w:sz w:val="18"/>
          <w:szCs w:val="18"/>
        </w:rPr>
        <w:t>7</w:t>
      </w:r>
      <w:r w:rsidRPr="00723A08">
        <w:rPr>
          <w:rFonts w:ascii="Times New Roman" w:hAnsi="Times New Roman"/>
          <w:i/>
          <w:sz w:val="18"/>
          <w:szCs w:val="18"/>
        </w:rPr>
        <w:t xml:space="preserve"> Особливостей</w:t>
      </w:r>
      <w:r w:rsidRPr="00F33C53">
        <w:rPr>
          <w:rFonts w:ascii="Times New Roman" w:eastAsia="Times New Roman" w:hAnsi="Times New Roman"/>
          <w:i/>
          <w:sz w:val="18"/>
          <w:szCs w:val="18"/>
          <w:lang w:eastAsia="zh-CN"/>
        </w:rPr>
        <w:t xml:space="preserve"> подається по кожному з Учасників, які входять у склад об’єднання окремо.</w:t>
      </w:r>
    </w:p>
    <w:p w:rsidR="006F0A23" w:rsidRDefault="005A6148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</w:p>
    <w:p w:rsidR="005A6148" w:rsidRDefault="005A6148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6F0A23">
      <w:pPr>
        <w:widowControl w:val="0"/>
        <w:autoSpaceDE w:val="0"/>
        <w:autoSpaceDN w:val="0"/>
        <w:spacing w:before="78" w:after="0" w:line="278" w:lineRule="auto"/>
        <w:ind w:right="671"/>
        <w:jc w:val="right"/>
        <w:rPr>
          <w:rFonts w:ascii="Times New Roman" w:eastAsia="Times New Roman" w:hAnsi="Times New Roman"/>
          <w:b/>
        </w:rPr>
      </w:pPr>
    </w:p>
    <w:p w:rsidR="006F0A23" w:rsidRDefault="006F0A23" w:rsidP="004B15A9">
      <w:pPr>
        <w:jc w:val="both"/>
      </w:pPr>
    </w:p>
    <w:sectPr w:rsidR="006F0A23" w:rsidSect="00A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E1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D0E"/>
    <w:rsid w:val="002E2522"/>
    <w:rsid w:val="003C5F9A"/>
    <w:rsid w:val="004B15A9"/>
    <w:rsid w:val="004E0D0E"/>
    <w:rsid w:val="00506129"/>
    <w:rsid w:val="00562CE9"/>
    <w:rsid w:val="005A6148"/>
    <w:rsid w:val="005D1051"/>
    <w:rsid w:val="006D170B"/>
    <w:rsid w:val="006F0A23"/>
    <w:rsid w:val="00742E52"/>
    <w:rsid w:val="007442C6"/>
    <w:rsid w:val="009B3677"/>
    <w:rsid w:val="009D015F"/>
    <w:rsid w:val="009F45B3"/>
    <w:rsid w:val="00A06306"/>
    <w:rsid w:val="00B04E13"/>
    <w:rsid w:val="00C67A2D"/>
    <w:rsid w:val="00C93D50"/>
    <w:rsid w:val="00D37F34"/>
    <w:rsid w:val="00EA36EC"/>
    <w:rsid w:val="00F7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6F0A23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6F0A23"/>
    <w:rPr>
      <w:color w:val="0000FF" w:themeColor="hyperlink"/>
      <w:u w:val="single"/>
    </w:r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6F0A2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10</cp:revision>
  <dcterms:created xsi:type="dcterms:W3CDTF">2023-03-03T12:43:00Z</dcterms:created>
  <dcterms:modified xsi:type="dcterms:W3CDTF">2023-08-16T07:12:00Z</dcterms:modified>
</cp:coreProperties>
</file>