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166"/>
        <w:gridCol w:w="1276"/>
        <w:gridCol w:w="1134"/>
        <w:gridCol w:w="1701"/>
      </w:tblGrid>
      <w:tr w:rsidR="00BF7282" w:rsidRPr="00E73B7D" w14:paraId="6DBBDE2D" w14:textId="77777777" w:rsidTr="0056079A">
        <w:trPr>
          <w:trHeight w:val="634"/>
          <w:jc w:val="center"/>
        </w:trPr>
        <w:tc>
          <w:tcPr>
            <w:tcW w:w="499"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166"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76"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134"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701"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56079A" w:rsidRPr="00E73B7D" w14:paraId="519789CD" w14:textId="77777777" w:rsidTr="0056079A">
        <w:trPr>
          <w:trHeight w:val="207"/>
          <w:jc w:val="center"/>
        </w:trPr>
        <w:tc>
          <w:tcPr>
            <w:tcW w:w="9776" w:type="dxa"/>
            <w:gridSpan w:val="5"/>
          </w:tcPr>
          <w:p w14:paraId="5B476107" w14:textId="0435280A" w:rsidR="0056079A" w:rsidRPr="00E73B7D" w:rsidRDefault="001033E9" w:rsidP="004F277C">
            <w:pPr>
              <w:spacing w:after="0" w:line="240" w:lineRule="auto"/>
              <w:jc w:val="center"/>
              <w:rPr>
                <w:rFonts w:ascii="Times New Roman" w:hAnsi="Times New Roman"/>
                <w:sz w:val="20"/>
                <w:szCs w:val="20"/>
                <w:lang w:val="uk-UA"/>
              </w:rPr>
            </w:pPr>
            <w:r w:rsidRPr="001033E9">
              <w:rPr>
                <w:rFonts w:ascii="Times New Roman" w:hAnsi="Times New Roman"/>
                <w:b/>
                <w:bCs/>
                <w:sz w:val="20"/>
                <w:szCs w:val="20"/>
                <w:lang w:val="uk-UA"/>
              </w:rPr>
              <w:t xml:space="preserve">Послуги з технічного обслуговування </w:t>
            </w:r>
            <w:proofErr w:type="spellStart"/>
            <w:r w:rsidRPr="001033E9">
              <w:rPr>
                <w:rFonts w:ascii="Times New Roman" w:hAnsi="Times New Roman"/>
                <w:b/>
                <w:bCs/>
                <w:sz w:val="20"/>
                <w:szCs w:val="20"/>
                <w:lang w:val="uk-UA"/>
              </w:rPr>
              <w:t>ін’єктора</w:t>
            </w:r>
            <w:proofErr w:type="spellEnd"/>
            <w:r w:rsidRPr="001033E9">
              <w:rPr>
                <w:rFonts w:ascii="Times New Roman" w:hAnsi="Times New Roman"/>
                <w:b/>
                <w:bCs/>
                <w:sz w:val="20"/>
                <w:szCs w:val="20"/>
                <w:lang w:val="uk-UA"/>
              </w:rPr>
              <w:t xml:space="preserve"> </w:t>
            </w:r>
            <w:proofErr w:type="spellStart"/>
            <w:r w:rsidRPr="001033E9">
              <w:rPr>
                <w:rFonts w:ascii="Times New Roman" w:hAnsi="Times New Roman"/>
                <w:b/>
                <w:bCs/>
                <w:sz w:val="20"/>
                <w:szCs w:val="20"/>
                <w:lang w:val="uk-UA"/>
              </w:rPr>
              <w:t>Accutron</w:t>
            </w:r>
            <w:proofErr w:type="spellEnd"/>
            <w:r w:rsidRPr="001033E9">
              <w:rPr>
                <w:rFonts w:ascii="Times New Roman" w:hAnsi="Times New Roman"/>
                <w:b/>
                <w:bCs/>
                <w:sz w:val="20"/>
                <w:szCs w:val="20"/>
                <w:lang w:val="uk-UA"/>
              </w:rPr>
              <w:t xml:space="preserve"> CT (виробництво MEDTRON AG):</w:t>
            </w:r>
          </w:p>
        </w:tc>
      </w:tr>
      <w:tr w:rsidR="00BF7282" w:rsidRPr="00E73B7D" w14:paraId="7D40B47C" w14:textId="77777777" w:rsidTr="0056079A">
        <w:trPr>
          <w:trHeight w:val="412"/>
          <w:jc w:val="center"/>
        </w:trPr>
        <w:tc>
          <w:tcPr>
            <w:tcW w:w="499"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166" w:type="dxa"/>
            <w:vAlign w:val="center"/>
          </w:tcPr>
          <w:p w14:paraId="3D9DE7CC"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1.1. Перевірка механічних рухомих частин;</w:t>
            </w:r>
          </w:p>
          <w:p w14:paraId="6DD26016"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1.2. Перевірка кабелів, з’єднань та роз’ємів ін’єкційного модуля;</w:t>
            </w:r>
          </w:p>
          <w:p w14:paraId="3ABD2A2C"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1.3. Перевірка кабелів, з’єднань та роз’ємів блоку управління;</w:t>
            </w:r>
          </w:p>
          <w:p w14:paraId="0607AF55"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1.4. Перевірка справності плунжерів;</w:t>
            </w:r>
          </w:p>
          <w:p w14:paraId="6FDDFF15"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 xml:space="preserve">1.5. Чистка внутрішньої частини </w:t>
            </w:r>
            <w:proofErr w:type="spellStart"/>
            <w:r w:rsidRPr="001033E9">
              <w:rPr>
                <w:rFonts w:ascii="Times New Roman" w:hAnsi="Times New Roman"/>
                <w:sz w:val="20"/>
                <w:szCs w:val="20"/>
                <w:lang w:val="uk-UA"/>
              </w:rPr>
              <w:t>ін’єктора</w:t>
            </w:r>
            <w:proofErr w:type="spellEnd"/>
            <w:r w:rsidRPr="001033E9">
              <w:rPr>
                <w:rFonts w:ascii="Times New Roman" w:hAnsi="Times New Roman"/>
                <w:sz w:val="20"/>
                <w:szCs w:val="20"/>
                <w:lang w:val="uk-UA"/>
              </w:rPr>
              <w:t>;</w:t>
            </w:r>
          </w:p>
          <w:p w14:paraId="328FB31A" w14:textId="77777777" w:rsidR="001033E9" w:rsidRPr="001033E9" w:rsidRDefault="001033E9" w:rsidP="001033E9">
            <w:pPr>
              <w:pStyle w:val="2"/>
              <w:rPr>
                <w:rFonts w:ascii="Times New Roman" w:hAnsi="Times New Roman"/>
                <w:sz w:val="20"/>
                <w:szCs w:val="20"/>
                <w:lang w:val="uk-UA"/>
              </w:rPr>
            </w:pPr>
            <w:r w:rsidRPr="001033E9">
              <w:rPr>
                <w:rFonts w:ascii="Times New Roman" w:hAnsi="Times New Roman"/>
                <w:sz w:val="20"/>
                <w:szCs w:val="20"/>
                <w:lang w:val="uk-UA"/>
              </w:rPr>
              <w:t xml:space="preserve">1.6. Змащення механічних рухомих частин </w:t>
            </w:r>
            <w:proofErr w:type="spellStart"/>
            <w:r w:rsidRPr="001033E9">
              <w:rPr>
                <w:rFonts w:ascii="Times New Roman" w:hAnsi="Times New Roman"/>
                <w:sz w:val="20"/>
                <w:szCs w:val="20"/>
                <w:lang w:val="uk-UA"/>
              </w:rPr>
              <w:t>ін’єктора</w:t>
            </w:r>
            <w:proofErr w:type="spellEnd"/>
            <w:r w:rsidRPr="001033E9">
              <w:rPr>
                <w:rFonts w:ascii="Times New Roman" w:hAnsi="Times New Roman"/>
                <w:sz w:val="20"/>
                <w:szCs w:val="20"/>
                <w:lang w:val="uk-UA"/>
              </w:rPr>
              <w:t>;</w:t>
            </w:r>
          </w:p>
          <w:p w14:paraId="125654D2" w14:textId="4DD6CAA1" w:rsidR="00BF7282" w:rsidRPr="00E73B7D" w:rsidRDefault="001033E9" w:rsidP="001033E9">
            <w:pPr>
              <w:pStyle w:val="4"/>
              <w:jc w:val="both"/>
              <w:rPr>
                <w:rFonts w:ascii="Times New Roman" w:hAnsi="Times New Roman"/>
                <w:sz w:val="20"/>
                <w:szCs w:val="20"/>
                <w:lang w:val="uk-UA"/>
              </w:rPr>
            </w:pPr>
            <w:r w:rsidRPr="001033E9">
              <w:rPr>
                <w:rFonts w:ascii="Times New Roman" w:hAnsi="Times New Roman"/>
                <w:sz w:val="20"/>
                <w:szCs w:val="20"/>
                <w:lang w:val="uk-UA"/>
              </w:rPr>
              <w:t xml:space="preserve">1.7. Проведення процедур тестування, калібрування сенсорного дисплею та позиції поршнів.  </w:t>
            </w:r>
          </w:p>
        </w:tc>
        <w:tc>
          <w:tcPr>
            <w:tcW w:w="1276"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5C845AB2" w:rsidR="00BF7282" w:rsidRPr="00E73B7D" w:rsidRDefault="001033E9"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2</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w:t>
            </w:r>
            <w:r>
              <w:rPr>
                <w:rFonts w:ascii="Times New Roman" w:hAnsi="Times New Roman"/>
                <w:sz w:val="20"/>
                <w:szCs w:val="20"/>
                <w:lang w:val="uk-UA"/>
              </w:rPr>
              <w:t>и</w:t>
            </w:r>
          </w:p>
        </w:tc>
        <w:tc>
          <w:tcPr>
            <w:tcW w:w="1134"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701"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56079A">
        <w:trPr>
          <w:trHeight w:val="227"/>
          <w:jc w:val="center"/>
        </w:trPr>
        <w:tc>
          <w:tcPr>
            <w:tcW w:w="8075"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701"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56079A">
        <w:trPr>
          <w:trHeight w:val="274"/>
          <w:jc w:val="center"/>
        </w:trPr>
        <w:tc>
          <w:tcPr>
            <w:tcW w:w="8075"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701"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BE5EFD">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363E" w14:textId="77777777" w:rsidR="00BE5EFD" w:rsidRDefault="00BE5EFD" w:rsidP="001D33AF">
      <w:pPr>
        <w:spacing w:after="0" w:line="240" w:lineRule="auto"/>
      </w:pPr>
      <w:r>
        <w:separator/>
      </w:r>
    </w:p>
  </w:endnote>
  <w:endnote w:type="continuationSeparator" w:id="0">
    <w:p w14:paraId="400F9180" w14:textId="77777777" w:rsidR="00BE5EFD" w:rsidRDefault="00BE5EFD"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FF26" w14:textId="77777777" w:rsidR="00BE5EFD" w:rsidRDefault="00BE5EFD" w:rsidP="001D33AF">
      <w:pPr>
        <w:spacing w:after="0" w:line="240" w:lineRule="auto"/>
      </w:pPr>
      <w:r>
        <w:separator/>
      </w:r>
    </w:p>
  </w:footnote>
  <w:footnote w:type="continuationSeparator" w:id="0">
    <w:p w14:paraId="5C75E894" w14:textId="77777777" w:rsidR="00BE5EFD" w:rsidRDefault="00BE5EFD"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33E9"/>
    <w:rsid w:val="001071B3"/>
    <w:rsid w:val="001359D1"/>
    <w:rsid w:val="00164776"/>
    <w:rsid w:val="001929E2"/>
    <w:rsid w:val="001D33AF"/>
    <w:rsid w:val="001E17DB"/>
    <w:rsid w:val="0024015B"/>
    <w:rsid w:val="00242DFA"/>
    <w:rsid w:val="0024782F"/>
    <w:rsid w:val="00262241"/>
    <w:rsid w:val="002626D5"/>
    <w:rsid w:val="002768B6"/>
    <w:rsid w:val="00333F0D"/>
    <w:rsid w:val="00342834"/>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3EE7"/>
    <w:rsid w:val="004F5E38"/>
    <w:rsid w:val="00502948"/>
    <w:rsid w:val="0052770D"/>
    <w:rsid w:val="00550B4C"/>
    <w:rsid w:val="00555026"/>
    <w:rsid w:val="0056079A"/>
    <w:rsid w:val="005955DD"/>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1F87"/>
    <w:rsid w:val="00771A4B"/>
    <w:rsid w:val="007743BA"/>
    <w:rsid w:val="00774478"/>
    <w:rsid w:val="007A2C33"/>
    <w:rsid w:val="007A34BA"/>
    <w:rsid w:val="007C6118"/>
    <w:rsid w:val="007F1012"/>
    <w:rsid w:val="00852BE3"/>
    <w:rsid w:val="00855D8E"/>
    <w:rsid w:val="00897BF9"/>
    <w:rsid w:val="008E1F77"/>
    <w:rsid w:val="008E52A5"/>
    <w:rsid w:val="008E6627"/>
    <w:rsid w:val="008F49C3"/>
    <w:rsid w:val="008F54BC"/>
    <w:rsid w:val="00921C36"/>
    <w:rsid w:val="009236B5"/>
    <w:rsid w:val="009725AF"/>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43115"/>
    <w:rsid w:val="00B64761"/>
    <w:rsid w:val="00B86050"/>
    <w:rsid w:val="00BD54BF"/>
    <w:rsid w:val="00BD6F43"/>
    <w:rsid w:val="00BE5EFD"/>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40FF1"/>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1561</Words>
  <Characters>890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44</cp:revision>
  <dcterms:created xsi:type="dcterms:W3CDTF">2023-02-26T11:45:00Z</dcterms:created>
  <dcterms:modified xsi:type="dcterms:W3CDTF">2024-03-25T10:00:00Z</dcterms:modified>
</cp:coreProperties>
</file>