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E2" w:rsidRPr="00C861B6" w:rsidRDefault="00236AE2" w:rsidP="00236AE2">
      <w:pPr>
        <w:pageBreakBefore/>
        <w:suppressAutoHyphens/>
        <w:jc w:val="right"/>
        <w:rPr>
          <w:b/>
          <w:lang w:val="uk-UA" w:eastAsia="ar-SA"/>
        </w:rPr>
      </w:pPr>
      <w:r w:rsidRPr="00C861B6">
        <w:rPr>
          <w:b/>
          <w:bCs/>
          <w:lang w:val="uk-UA" w:eastAsia="ar-SA"/>
        </w:rPr>
        <w:t>ДОДАТОК №2</w:t>
      </w:r>
    </w:p>
    <w:p w:rsidR="00236AE2" w:rsidRPr="00C861B6" w:rsidRDefault="00236AE2" w:rsidP="00236AE2">
      <w:pPr>
        <w:suppressAutoHyphens/>
        <w:autoSpaceDE w:val="0"/>
        <w:jc w:val="right"/>
        <w:rPr>
          <w:color w:val="000000"/>
          <w:bdr w:val="none" w:sz="0" w:space="0" w:color="auto" w:frame="1"/>
          <w:lang w:val="uk-UA"/>
        </w:rPr>
      </w:pPr>
      <w:r w:rsidRPr="00C861B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</w:t>
      </w:r>
      <w:r w:rsidRPr="00C861B6">
        <w:rPr>
          <w:color w:val="000000"/>
          <w:bdr w:val="none" w:sz="0" w:space="0" w:color="auto" w:frame="1"/>
          <w:lang w:val="uk-UA"/>
        </w:rPr>
        <w:t xml:space="preserve">до тендерної документації  </w:t>
      </w:r>
    </w:p>
    <w:p w:rsidR="00236AE2" w:rsidRPr="00C861B6" w:rsidRDefault="00236AE2" w:rsidP="00236AE2">
      <w:pPr>
        <w:suppressAutoHyphens/>
        <w:autoSpaceDE w:val="0"/>
        <w:jc w:val="center"/>
        <w:rPr>
          <w:b/>
          <w:lang w:val="uk-UA" w:eastAsia="ar-SA"/>
        </w:rPr>
      </w:pPr>
    </w:p>
    <w:p w:rsidR="00325F0E" w:rsidRDefault="00325F0E" w:rsidP="00325F0E">
      <w:pPr>
        <w:pStyle w:val="Standard"/>
        <w:jc w:val="center"/>
        <w:rPr>
          <w:b/>
          <w:bCs/>
          <w:iCs/>
          <w:sz w:val="22"/>
          <w:szCs w:val="22"/>
          <w:lang w:val="uk-UA" w:eastAsia="ar-SA"/>
        </w:rPr>
      </w:pPr>
      <w:r>
        <w:rPr>
          <w:b/>
          <w:bCs/>
          <w:iCs/>
          <w:sz w:val="22"/>
          <w:szCs w:val="22"/>
          <w:lang w:val="uk-UA" w:eastAsia="ar-SA"/>
        </w:rPr>
        <w:t>ТЕХНІЧНА СПЕЦИФІКАЦІЯ</w:t>
      </w:r>
    </w:p>
    <w:p w:rsidR="00325F0E" w:rsidRDefault="00325F0E" w:rsidP="00325F0E">
      <w:pPr>
        <w:pStyle w:val="Standard"/>
        <w:jc w:val="center"/>
        <w:rPr>
          <w:b/>
          <w:bCs/>
          <w:iCs/>
          <w:sz w:val="22"/>
          <w:szCs w:val="22"/>
          <w:lang w:val="uk-UA" w:eastAsia="ar-SA"/>
        </w:rPr>
      </w:pPr>
      <w:r>
        <w:rPr>
          <w:b/>
          <w:bCs/>
          <w:iCs/>
          <w:sz w:val="22"/>
          <w:szCs w:val="22"/>
          <w:lang w:val="uk-UA" w:eastAsia="ar-SA"/>
        </w:rPr>
        <w:t>Інформація про технічні, якісні та інші характеристики предмета закупівлі</w:t>
      </w:r>
    </w:p>
    <w:p w:rsidR="00325F0E" w:rsidRDefault="00325F0E" w:rsidP="00325F0E">
      <w:pPr>
        <w:pStyle w:val="Standard"/>
        <w:jc w:val="center"/>
        <w:rPr>
          <w:b/>
          <w:bCs/>
          <w:iCs/>
          <w:sz w:val="22"/>
          <w:szCs w:val="22"/>
          <w:lang w:val="uk-UA" w:eastAsia="ar-SA"/>
        </w:rPr>
      </w:pPr>
      <w:r>
        <w:rPr>
          <w:b/>
          <w:bCs/>
          <w:iCs/>
          <w:sz w:val="22"/>
          <w:szCs w:val="22"/>
          <w:lang w:val="uk-UA" w:eastAsia="ar-SA"/>
        </w:rPr>
        <w:t>на закупівлю:</w:t>
      </w:r>
    </w:p>
    <w:p w:rsidR="00325F0E" w:rsidRPr="00404E46" w:rsidRDefault="00325F0E" w:rsidP="00325F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325F0E" w:rsidRDefault="00325F0E" w:rsidP="00325F0E">
      <w:pPr>
        <w:jc w:val="center"/>
        <w:rPr>
          <w:b/>
          <w:color w:val="000000" w:themeColor="text1"/>
        </w:rPr>
      </w:pPr>
      <w:r w:rsidRPr="00404E46">
        <w:rPr>
          <w:b/>
          <w:color w:val="000000" w:themeColor="text1"/>
        </w:rPr>
        <w:t>ДК 021:2015</w:t>
      </w:r>
      <w:r>
        <w:rPr>
          <w:b/>
          <w:color w:val="000000" w:themeColor="text1"/>
        </w:rPr>
        <w:t>:</w:t>
      </w:r>
      <w:r w:rsidRPr="00404E46">
        <w:rPr>
          <w:b/>
          <w:color w:val="000000" w:themeColor="text1"/>
        </w:rPr>
        <w:t xml:space="preserve">33690000-3 </w:t>
      </w:r>
      <w:proofErr w:type="spellStart"/>
      <w:r w:rsidRPr="00404E46">
        <w:rPr>
          <w:b/>
          <w:color w:val="000000" w:themeColor="text1"/>
        </w:rPr>
        <w:t>Лікарські</w:t>
      </w:r>
      <w:proofErr w:type="spellEnd"/>
      <w:r w:rsidRPr="00404E46">
        <w:rPr>
          <w:b/>
          <w:color w:val="000000" w:themeColor="text1"/>
        </w:rPr>
        <w:t xml:space="preserve"> </w:t>
      </w:r>
      <w:proofErr w:type="spellStart"/>
      <w:r w:rsidRPr="00404E46">
        <w:rPr>
          <w:b/>
          <w:color w:val="000000" w:themeColor="text1"/>
        </w:rPr>
        <w:t>засоби</w:t>
      </w:r>
      <w:proofErr w:type="spellEnd"/>
      <w:r w:rsidRPr="00404E46">
        <w:rPr>
          <w:b/>
          <w:color w:val="000000" w:themeColor="text1"/>
        </w:rPr>
        <w:t xml:space="preserve"> </w:t>
      </w:r>
      <w:proofErr w:type="spellStart"/>
      <w:proofErr w:type="gramStart"/>
      <w:r w:rsidRPr="00404E46">
        <w:rPr>
          <w:b/>
          <w:color w:val="000000" w:themeColor="text1"/>
        </w:rPr>
        <w:t>р</w:t>
      </w:r>
      <w:proofErr w:type="gramEnd"/>
      <w:r w:rsidRPr="00404E46">
        <w:rPr>
          <w:b/>
          <w:color w:val="000000" w:themeColor="text1"/>
        </w:rPr>
        <w:t>ізні</w:t>
      </w:r>
      <w:proofErr w:type="spellEnd"/>
      <w:r w:rsidRPr="00404E46">
        <w:rPr>
          <w:b/>
          <w:color w:val="000000" w:themeColor="text1"/>
        </w:rPr>
        <w:t xml:space="preserve"> </w:t>
      </w:r>
    </w:p>
    <w:p w:rsidR="00325F0E" w:rsidRPr="00E16918" w:rsidRDefault="00325F0E" w:rsidP="00325F0E">
      <w:pPr>
        <w:jc w:val="center"/>
        <w:rPr>
          <w:b/>
        </w:rPr>
      </w:pPr>
      <w:r w:rsidRPr="00404E46">
        <w:rPr>
          <w:b/>
          <w:color w:val="000000" w:themeColor="text1"/>
        </w:rPr>
        <w:t xml:space="preserve">(33696500-0 </w:t>
      </w:r>
      <w:proofErr w:type="spellStart"/>
      <w:r w:rsidRPr="00404E46">
        <w:rPr>
          <w:b/>
          <w:color w:val="000000" w:themeColor="text1"/>
        </w:rPr>
        <w:t>Лабораторні</w:t>
      </w:r>
      <w:proofErr w:type="spellEnd"/>
      <w:r w:rsidRPr="00404E46">
        <w:rPr>
          <w:b/>
          <w:color w:val="000000" w:themeColor="text1"/>
        </w:rPr>
        <w:t xml:space="preserve"> </w:t>
      </w:r>
      <w:proofErr w:type="spellStart"/>
      <w:r w:rsidRPr="00404E46">
        <w:rPr>
          <w:b/>
          <w:color w:val="000000" w:themeColor="text1"/>
        </w:rPr>
        <w:t>реактиви</w:t>
      </w:r>
      <w:proofErr w:type="spellEnd"/>
      <w:r w:rsidRPr="00404E46">
        <w:rPr>
          <w:b/>
          <w:color w:val="000000" w:themeColor="text1"/>
        </w:rPr>
        <w:t>)</w:t>
      </w:r>
    </w:p>
    <w:p w:rsidR="00325F0E" w:rsidRDefault="00325F0E" w:rsidP="00325F0E">
      <w:pPr>
        <w:pStyle w:val="Standard"/>
        <w:jc w:val="center"/>
        <w:rPr>
          <w:iCs/>
          <w:sz w:val="22"/>
          <w:szCs w:val="22"/>
          <w:lang w:val="uk-UA" w:eastAsia="ar-SA"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00"/>
        <w:gridCol w:w="1764"/>
        <w:gridCol w:w="9495"/>
        <w:gridCol w:w="1042"/>
        <w:gridCol w:w="886"/>
      </w:tblGrid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НКМВ 024-20</w:t>
            </w:r>
            <w:r w:rsidR="00426640"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Медико - технічні вимоги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Одиниця виміру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Кіль</w:t>
            </w:r>
          </w:p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кість </w:t>
            </w:r>
          </w:p>
        </w:tc>
      </w:tr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Райтмана-Френкеля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74" w:rsidRPr="00C861B6" w:rsidRDefault="00426640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52924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Аланінамінотрансфераза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(ALT)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набір,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використовується для визначення активності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аланінамінотрансферази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у сироватці крові людини.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Набір розрахований (з урахуванням холостих та калібрувальних проб) на 250 мікро визначень.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Лінійність повинна забезпечуватись в діапазоні від 0,1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до 2,5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(від 0,028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мккат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 до 0,7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мккат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Коефіцієнт варіації визначення - не більше 6 %.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Чутливість 4 на 0,001 од. оптичної щільності - не більше 0,01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 (510 нм).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Зберігання набору - при температурі від плюс 2 °С до плюс 8 °С.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Гарантійний термін придатності набору - 12 місяців від дня виготовлення.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Склад набору: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Субстратно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-буферний розчин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(1 флакон з (50 ±2) мл):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- фосфатний буфер (0,100 ± 0,005) моль/л, </w:t>
            </w:r>
          </w:p>
          <w:p w:rsidR="00972874" w:rsidRPr="00C861B6" w:rsidRDefault="00972874" w:rsidP="0059053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861B6">
              <w:rPr>
                <w:color w:val="000000"/>
                <w:sz w:val="20"/>
                <w:szCs w:val="20"/>
              </w:rPr>
              <w:t>- D,L-альфа-аланін (0,20 ±0,01) моль/л,</w:t>
            </w:r>
            <w:r w:rsidRPr="00C861B6">
              <w:rPr>
                <w:color w:val="000000"/>
                <w:sz w:val="20"/>
                <w:szCs w:val="20"/>
              </w:rPr>
              <w:br/>
              <w:t xml:space="preserve">- 2-оксоглутарова кислота (2,0 ±0,1) ммоль/л. </w:t>
            </w:r>
            <w:r w:rsidRPr="00C861B6">
              <w:rPr>
                <w:color w:val="000000"/>
                <w:sz w:val="20"/>
                <w:szCs w:val="20"/>
              </w:rPr>
              <w:br/>
              <w:t>2. Стоп-реагент 1 флакон з (50 ±2) мл):</w:t>
            </w:r>
            <w:r w:rsidRPr="00C861B6">
              <w:rPr>
                <w:color w:val="000000"/>
                <w:sz w:val="20"/>
                <w:szCs w:val="20"/>
              </w:rPr>
              <w:br/>
              <w:t xml:space="preserve">- 2,4-дінітрофенілгідразин (1,00 ± 0,05)  моль/л </w:t>
            </w:r>
            <w:r w:rsidRPr="00C861B6">
              <w:rPr>
                <w:color w:val="000000"/>
                <w:sz w:val="20"/>
                <w:szCs w:val="20"/>
              </w:rPr>
              <w:br/>
              <w:t>3. Калібрувальний  розчин (</w:t>
            </w:r>
            <w:r w:rsidRPr="00C861B6">
              <w:rPr>
                <w:rStyle w:val="2Exact"/>
                <w:sz w:val="20"/>
                <w:szCs w:val="20"/>
              </w:rPr>
              <w:t>1 ампула з (5,0 ± 0,5) мл):</w:t>
            </w:r>
            <w:r w:rsidRPr="00C861B6">
              <w:rPr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піровинограднокислого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натрію (2,0 ±0,1) ммоль/л, (220 ±11)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мкг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/мл, (що відповідає 176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мкг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/мл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піровиноградної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кислоти)</w:t>
            </w:r>
            <w:r w:rsidRPr="00C861B6">
              <w:rPr>
                <w:color w:val="000000"/>
                <w:sz w:val="20"/>
                <w:szCs w:val="20"/>
              </w:rPr>
              <w:br/>
              <w:t>4. Гідроокис натрію 1 флакон: (розчин (4,0 ± 0,2) моль/л (50 ± 2) мл чи сухий (8,00 ± 0,32) г)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АсАТ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Райтмана-Френкеля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74" w:rsidRPr="00C861B6" w:rsidRDefault="00426640" w:rsidP="003C753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52954 Загальна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аспартатамінотрансфераз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 (AST)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використовується для визначення активності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аланінамінотрансферази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у сироватці крові людини.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Набір розрахований (з урахуванням холостих та калібрувальних проб) на 250 мікро визначень.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Лінійність повинна забезпечуватись в діапазоні від 0,1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до 2,5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(від 0,028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мккат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 до 0,7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мккат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Коефіцієнт варіації визначення - не більше 6 %.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Чутливість 4 на 0,001 од. оптичної щільності - не більше 0,01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 (510 нм).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Зберігання набору - при температурі від плюс 2 °С до плюс 8 °С.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Гарантійний термін придатності набору - 12 місяців від дня виготовлення.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Склад набору: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Субстратно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-буферний розчин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АсАТ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(1 флакон з (50 ±2) мл):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- фосфатний буфер (0,100 ± 0,005) моль/л,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D,L-альфа-аланін (0,20 ±0,01) моль/л,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- 2-оксоглутарова кислота (2,0 ±0,1) ммоль/л.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2. Стоп-реагент 1 флакон з (50 ±2) мл):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- 2,4-дінітрофенілгідразин (1,00 ± 0,05)  моль/л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3. Калібрувальний  розчин (</w:t>
            </w:r>
            <w:r w:rsidRPr="00C861B6">
              <w:rPr>
                <w:rStyle w:val="2Exact"/>
                <w:rFonts w:eastAsiaTheme="minorHAnsi"/>
                <w:sz w:val="20"/>
                <w:szCs w:val="20"/>
                <w:lang w:val="uk-UA"/>
              </w:rPr>
              <w:t>1 ампула з (5,0 ± 0,5) мл):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піровинограднокислого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(2,0 ±0,1) ммоль/л, (220 ±11)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мкг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/мл, (що відповідає 176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мкг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/мл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піровиноградної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кислоти)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4. Гідроокис натрію 1 флакон: (розчин (4,0 ± 0,2) моль/л (50 ± 2) мл чи сухий (8,00 ± 0,32) г)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Альфа-Амілаза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Каравея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426640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52940 Загальна амілаза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призначений для кількісного визначення активності а-амілази у біологічних рідинах.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Набір розрахований на 100 визначень (при витраті робочого розчину 5 мл на визначення), з урахуванням холостих проб.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активностей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- від 3,0 мг/(с х л) до 36,0 мг/(с х л).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Коефіцієнт варіації у серії - не більше 10 %.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Чутливість 6 на 0,001 од. оптичної щільності - не більше 0,5 мг/(с х л) (640 нм).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Припустима похибка визначення - не більше 30 %.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Зберігання набору - при температурі від плюс 2 °С до плюс 8 °С.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Гарантійний термін придатності набору - 12 місяців від дня виготовлення.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Буфер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(7,0 ±0,1)- 2 флакони по (50 ± 2) мл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фосфат натрію - (200 ± 20) ммоль/л,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хлорид натрію - (150 ± 15) ммоль/л.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Розчин йоду 0,1 Н;- 1 флакон з (10,0 ± 0,5) мл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йод - (12,7 ± 1,2) г/л,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калій йодистий - (30,0 ± 1,5) г/л,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Розчин концентрату інгібітору- 1 флакон з (50 ± 2) мл.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 Розчин субстрату-1 флакон з (5,0 ± 0,5) мл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крохмаль розчинний - (10,0 ± 0,5) мг/мл.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10                                                                                                </w:t>
            </w:r>
          </w:p>
        </w:tc>
      </w:tr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Білірубін (без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Йендрашина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прямий/загальний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426640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63410 Загальний/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кон'югований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(прямий) білірубін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комплект, спектрофотометрія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призначений для визначення концентрацій загального та прямого білірубіну у сироватці крові людини 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Набір розрахований на 110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(55 визначень прямого та 55 загального білірубіну) при витраті робочого розчину на визначення відповідно цій методики.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2 мг/л до 200 мг/л (від 3,4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 до 340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Коефіцієнт варіації визначення - не більше 5 %.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Чутливість8 на 0,001 од. оптичної щільності - не більше 0,15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 (540 нм).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Зберігання набору - при температурі від плюс 2 °С до плюс 16 °С.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Гарантійний термін придатності набору - 24 місяця від дня виготовлення.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Розчин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сульфанілової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кислоти-1 - флакон з (50 + 2) мл;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сульфанілова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кислота - (25,0 + 1,2) ммоль/л,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Кофеїновий реактив (концентрат) - 2 флакони по (50 ± 2) мл;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бензоат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- (0,500 ± 0,025) моль/л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- ацетат натрію - (1,500 ± 0,075) моль/л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- кофеїн - (50,0 ± 1,5) г/л;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Розчин нітриту натрію 350 ммоль/л - 1 ампула з (5,0 ± 0,3) мл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426640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</w:t>
            </w:r>
            <w:r w:rsidR="00972874"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реактивів Калібратори гемоглобіну (3 фл. х 1,5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AA07AC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55874 Загальний гемоглобін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контрольний матеріал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призначений для калібрування і контролю якості визначення гемоглобіну у крові.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Діапазон калібрувальних концентрацій - від 40 г/л до 260 г/л.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калібрувальних концентрацій - не більше 2 %.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- 36 місяців від дня виготовлення.</w:t>
            </w:r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Склад набору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гемоглобіну-ГН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(1,5 ± 0,1) мл; (з низькою концентрацією гемоглобіну а г/л);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Калібратор гемоглобіну-ГС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(1,5 ± 0,1) мл; (з середньою концентрацією гемоглобіну б г/л);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3.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гемоглобіну-ГВ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(1,5 ± 0,1) мл. (з високою концентрацією гемоглобіну в г/л).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AA07AC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Глюкоза-Ф 200 мл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глюкозооксидазний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53301-Глюкоза IVD,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застосовують для визначення концентрації глюкози у цільній крові (плазмі), сироватці крові, сечі та спинномозковій рідині (СМР) людини.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50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чи 200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(сумарний об'єм робочого розчину 200 мл) з урахуванням холостих та калібрувальних проб 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0,056 ммоль/л до 25 ммоль/л або від 10 мг/л до 4500 мг/л.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5 %.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5 на 0,001 од. оптичної щільності - не більше 0,02 ммоль/л (510 нм).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16 °С.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Ензими (розчин)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-1 флакон з (100 ± 2) мл або 2 флакони по (50 ± 2) мл;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пероксидаза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(2200 ± 220) U/л;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β,D-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глюкозооксидаза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(18000 ± 1800) U/л;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4-амінофеназон (110 + 11) мг/л;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стабілізатори, активатори.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Буферний розчин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-1 флакон з (100 ± 2) мл або 2 флакони по (50 ± 2) мл;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фосфатний буфер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7,2 - 7,4) (0,10 ± 0,01) моль/л,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фенол (190 + 19) мг/л;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стабілізатори.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Антикоагулянт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або пакет;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 Калібрувальний розчин глюкози ((10,0 ± 0,5) ммоль/л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ампула з (5,0 ± 0,5) мл. або (1802 ± 90) мг/л).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AA07A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Сечова кислота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AA07AC" w:rsidP="00AA07A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53586 Сечова кислота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реагент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призначений для визначення концентрації сечової кислоти у сироватці крові і сечі людини. 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фотометруємий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об'єм 5,5 мл), 165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фотометруємий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об'єм 3,6 мл) чи 330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фотометруємий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об'єм 1,8 мл) сечової кислоти(з урахуванням холостих та калібрувальних проб). 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80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 до 1200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у серії - не більше 5 %.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Чутливість 5 на 0,001 од. оптичної щільності - не більше 2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 (650 нм).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16 °С.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Склад набору: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Фосфорновольфрамовий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реактив - 1 флакон з (100 + 2) мл;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Розчин каталізатору -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 флакон з (50 + 2) мл;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Вольфрамат натрію (0,30 + 0,01) моль/л -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 флакон з (50 + 2) мл;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 xml:space="preserve">Калібрувальний розчин сечової кислоти (300 + 3)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 або (5,04 + 0,05) мг% -1 флакон з (9,0 + 0,5) мл;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Карбонат натрію -1 флакон або поліетиленовий пакет з (20,5 + 0,5) 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Філісіт-КетоСкрин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10 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86" w:rsidRPr="00B75186" w:rsidRDefault="00B75186" w:rsidP="00B75186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53341 </w:t>
            </w:r>
            <w:proofErr w:type="spellStart"/>
            <w:r w:rsidRPr="00B75186">
              <w:rPr>
                <w:color w:val="000000"/>
                <w:sz w:val="20"/>
                <w:szCs w:val="20"/>
                <w:lang w:val="uk-UA" w:eastAsia="uk-UA"/>
              </w:rPr>
              <w:t>Кетон</w:t>
            </w:r>
            <w:proofErr w:type="spellEnd"/>
            <w:r w:rsidRPr="00B75186">
              <w:rPr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B75186">
              <w:rPr>
                <w:color w:val="000000"/>
                <w:sz w:val="20"/>
                <w:szCs w:val="20"/>
                <w:lang w:val="uk-UA" w:eastAsia="uk-UA"/>
              </w:rPr>
              <w:t>ацетоацетат</w:t>
            </w:r>
            <w:proofErr w:type="spellEnd"/>
            <w:r w:rsidRPr="00B75186">
              <w:rPr>
                <w:color w:val="000000"/>
                <w:sz w:val="20"/>
                <w:szCs w:val="20"/>
                <w:lang w:val="uk-UA" w:eastAsia="uk-UA"/>
              </w:rPr>
              <w:t xml:space="preserve">) IVD (діагностика </w:t>
            </w:r>
            <w:proofErr w:type="spellStart"/>
            <w:r w:rsidRPr="00B7518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B7518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518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B75186">
              <w:rPr>
                <w:color w:val="000000"/>
                <w:sz w:val="20"/>
                <w:szCs w:val="20"/>
                <w:lang w:val="uk-UA" w:eastAsia="uk-UA"/>
              </w:rPr>
              <w:t xml:space="preserve"> ), реагент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застосовують для оцінної діагностики вмісту кетонових тіл у сечі людини.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розрахований на 200 визначень.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1,5 ммоль/л до 14,7 ммоль/л.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25 °С.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строк придатності набору - 12 місяців від дня виготовлення.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Склад набору: </w:t>
            </w:r>
            <w:proofErr w:type="spellStart"/>
            <w:r w:rsidRPr="00C861B6">
              <w:rPr>
                <w:color w:val="000000"/>
                <w:sz w:val="20"/>
                <w:szCs w:val="20"/>
                <w:lang w:val="en-US" w:eastAsia="uk-UA"/>
              </w:rPr>
              <w:t>Ftlcit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-Кето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Скрин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(10,0 ± 0,5)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Діагностичний моноклональний реагент анти-D, 10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52647 Анти-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Rh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(D) групове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типування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еритроцитів IVD,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антитіла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Діагностичний моноклональний реагент анти-D, системи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Rhesus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, призначений для виявлення антигену D еритроцитів людини за допомогою прямої реакції аглютинації у будь-якій її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модифікаці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: в пробірках, на площині, в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мікроплаті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та нейтральних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гелевих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картах.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Пластиковий флакон 10 мл з вмістом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антитіл. Прозора або з незначною опалесценцією рідина.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Загальний термін придатності 2,5 роки.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3D6AFA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Діагностичний моноклональний реагент анти-А, 10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52532 Анти-A групове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типування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еритроцитів IVD,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антитіла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Діагностичний моноклональний реагент анти-А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гелевих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картах. Пластиковий флакон 10 мл з вмістом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 Прозора або з незначною опалесценцією рідина різних відтінків червоного кольору.  Загальний термін придатності 2,5 роки.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Діагностичний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 анти-АВ, 10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3D76A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46442 Анти-АВ групове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типування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еритроцитів IVD,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антитіла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Діагностичний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 анти-АВ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гелевих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картах. Пластиковий флакон 10 мл з вмістом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антитіл. Прозора або з незначною опалесценцією безбарвна рідина. Загальний термін придатності 2.5 роки.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Діагностичний моноклональний реагент анти-В, 10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3D76A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52538 Анти-B групове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типування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еритроцитів IVD,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антитіла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Діагностичний моноклональний реагент анти-В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гелевих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картах. Пластиковий флакон 10 мл з вмістом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антитіл. Прозора або з незначною опалесценцією рідина від блідо-фіолетового до синього кольору. Загальний термін придатності 2,5 роки.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48           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3D76A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Загальний білок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Біуретовий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61900 Загальний білок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набір, спектрофотометр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 Набір призначений для визначення концентрації загального білка у сироватці крові людини.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500 мікро – , 250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– або 125 -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визначень загального білку (з урахуванням холостих та калібрувальних проб). 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5 г/л до 100 г/л.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5 %.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7 на 0,001 од. оптичної щільності - не більше 0,25 г/л (540 нм).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Зберігання набору - при температурі від плюс 2 °С до плюс 16 °С.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Ліофілізований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альбумін для приготування 5 мл калібрувального розчину (50 + 2) г/л або 5 мл готового розчину альбуміну (50 + 2) г/л - 1 флакон;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2.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Біуретовий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 (концентрований розчин,) -1 флакон з (100 ± 2)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3C753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Калібратори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ціанметгемоглобіну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(5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амп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5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56227 Загальний гемоглобін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</w:t>
            </w:r>
            <w:proofErr w:type="spellEnd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Набір призначений для побудови калібрувального графіка при кількісному визначенні гемоглобіну у крові за уніфікованим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геміглобінціанідним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методом.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Діапазон калібрувальних концентрацій (у перерахуванні на гемоглобін крові) - від 40 г/л до 220 г/л.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калібрувальних концентрацій - не більше 2 %.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Калібрувальні розчини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геміглобінціаніду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- 5 ампул по (5,0 ± 0,5) мл.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(відповідає пробі крові з гемоглобіном А, Б, B, Г, Д г/л)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(точне значення концентрації гемоглобіну зазначено на ампулі з калібрувальним розчином)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2924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Лужна фосфатаза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2924B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52928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 xml:space="preserve">Загальна лужна фосфатаза (ALP)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застосовується для визначення активності лужної фосфатази у сироватці крові людини.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119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208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або 416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активності лужної фосфатази (з урахуванням холостих та калібрувальних проб).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активностей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- від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схл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до 10000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схл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7 %.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Чутливість 4 на 0,001 од. оптичної щільності - не більше 20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схл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 (540 нм).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- 12 місяців від дня виготовлення.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3D76A5" w:rsidRPr="00C861B6" w:rsidRDefault="003D76A5" w:rsidP="005D74A7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Буферний концентрат: (карбонат натрію - (32,0 ± 1,5) г/л, бікарбонат натрію - (16,8 ± 0,7) г/л, 4-амінофеназон - (10,2 ± 0,5) г/л) - 1 флакон з (50 ± 2) мл;</w:t>
            </w:r>
          </w:p>
          <w:p w:rsidR="003D76A5" w:rsidRPr="00C861B6" w:rsidRDefault="003D76A5" w:rsidP="005D74A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 xml:space="preserve">Субстрат: (670 ± 10) мг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дінатрійфенілфосфату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наважкою або в розчині - (10,0 ± 0,5) мл -1 флакон;</w:t>
            </w:r>
          </w:p>
          <w:p w:rsidR="003D76A5" w:rsidRPr="00C861B6" w:rsidRDefault="003D76A5" w:rsidP="005D74A7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Окислювач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перйодат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(50,0 ± 2,5) г/л - 1 флакон з (50 ± 2) мл;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Калібрувальний розчин фенолу (50 ±1) ммоль/л - 1 ампула з (5,0 ± 0,5)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2924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Забарвлення за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Цілем-Нільсеном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2924B5" w:rsidP="002924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44946 Фарбування за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Романовським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,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призначений для диференціального забарвлення мікобактерій туберкульозу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Mycobacteriacea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tuberculosis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M.tuberculosis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розрахований на проведення 200 аналізів (при витраті розчинів реагентів по 0,5 мл на визначення).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16 °С.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місяці від дня виготовлення.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Зберігати в захищеному від світла місці.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3D76A5" w:rsidRPr="00C861B6" w:rsidRDefault="003D76A5" w:rsidP="00957B61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Карболовий розчин фуксину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(100 ± 4) мл.</w:t>
            </w:r>
          </w:p>
          <w:p w:rsidR="003D76A5" w:rsidRPr="00C861B6" w:rsidRDefault="003D76A5" w:rsidP="00957B61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Знебарвлюючий розчин 1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(100 ± 4) мл</w:t>
            </w:r>
          </w:p>
          <w:p w:rsidR="003D76A5" w:rsidRPr="00C861B6" w:rsidRDefault="003D76A5" w:rsidP="00957B61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Знебарвлюючий розчин 2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(100 ± 4) мл</w:t>
            </w:r>
          </w:p>
          <w:p w:rsidR="003D76A5" w:rsidRPr="00C861B6" w:rsidRDefault="003D76A5" w:rsidP="005D74A7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Розчин метиленового синього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(100 ± 4)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2924B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Холестерин-Ф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C76F28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53359 Загальний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холестерин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Набір призначений для визначення концентрації холестерину та ефірів холестерину у сироватці крові і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плазмі людини ферментативним методом.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50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чи 200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холестерину. 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— від 0,5 ммоль/л до 19,4 ммоль/л.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— не більше 5 %.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на 0,001 од. оптичної щільності - не більше 0,018 ммоль/л (500 нм). Зберігання набору — при температурі від плюс 2 °С до плюс 8 °С.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— 12 місяців від дня виготовлення.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3D76A5" w:rsidRPr="00C861B6" w:rsidRDefault="003D76A5" w:rsidP="00396E58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Ензимний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реагент: - 2 флакони по (100 ±2) мл або 4 флакони по (50 ±2) мл;</w:t>
            </w:r>
          </w:p>
          <w:p w:rsidR="003D76A5" w:rsidRPr="00C861B6" w:rsidRDefault="003D76A5" w:rsidP="00396E58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 xml:space="preserve">Калібрувальний розчин холестерину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концентраций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(5,17 ± 0,10) ммоль/л</w:t>
            </w:r>
          </w:p>
          <w:p w:rsidR="003D76A5" w:rsidRPr="00C861B6" w:rsidRDefault="003D76A5" w:rsidP="00957B61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- 1 ампула або флакон з (1,5 ±0,1)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Креатинін 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Депрот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. ТХУ, рідкій білковий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054A49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53251 Креатинін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призначений для визначення концентрації креатиніну у сироватці крові та сечі людини в клініко-діагностичних та біохімічних лабораторіях, науково-дослідницькій практиці.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</w:t>
            </w:r>
            <w:r w:rsidR="00054A49" w:rsidRPr="00C861B6">
              <w:rPr>
                <w:color w:val="000000"/>
                <w:sz w:val="20"/>
                <w:szCs w:val="20"/>
                <w:lang w:val="uk-UA" w:eastAsia="uk-UA"/>
              </w:rPr>
              <w:t>100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</w:t>
            </w:r>
            <w:r w:rsidR="00054A49"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чи </w:t>
            </w:r>
            <w:r w:rsidR="00054A49" w:rsidRPr="00C861B6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креатиніну.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Лінійність зберігається до 100 мг/л (885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/л) креатиніну в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аналізуємому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розчині.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6 %.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Чутливість 8 на 0,001 од. оптичної щільності - не більше 0,8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 (505 нм).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Склад набору: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Розчин пікринової кислоти (0,040 ± 0,002) моль/л - 1 флакон з (100 ± 4)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2. Розчин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трихлороцтової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кислоти (1,220 ± 0,061) моль/л </w:t>
            </w:r>
            <w:r w:rsidRPr="00C861B6">
              <w:rPr>
                <w:rStyle w:val="2Exact"/>
                <w:rFonts w:eastAsiaTheme="minorHAnsi"/>
                <w:sz w:val="20"/>
                <w:szCs w:val="20"/>
                <w:lang w:val="uk-UA"/>
              </w:rPr>
              <w:t>-1 флакон з (100 ± 4)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Гідроокис натрію: розчин 2,3 Н чи сухий - -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 флакон з (50 ± 2) мл або з (4,60 ± 0,23) г;</w:t>
            </w:r>
          </w:p>
          <w:p w:rsidR="003D76A5" w:rsidRPr="00C861B6" w:rsidRDefault="003D76A5" w:rsidP="00396E58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Ліофілізований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креатинін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приготування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8 мл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калібрувального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розчину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(442,5 ± 22,0)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/л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8 мл готового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розчину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креатиніну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(442,5 ± 22,0)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/л. - </w:t>
            </w:r>
            <w:r w:rsidRPr="00C861B6">
              <w:rPr>
                <w:rStyle w:val="2Exact"/>
                <w:sz w:val="20"/>
                <w:szCs w:val="20"/>
              </w:rPr>
              <w:t>1 флакон.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054A49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контрольних реагентів для РМП RPR-02-1 (3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1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0F1698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32449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Treponema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pallidum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реагінові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антитіла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контрольний матеріал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Для контролю якості лабораторних досліджень на сифіліс в реакції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мікропреципітації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(РМП) (3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1 мл).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Позитивний контроль 4+.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Рідкий, готовий до використання.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Інактивована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сироватка крові хворих на сифіліс пацієнтів, яка містить антитіла до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кардіоліпінового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антигену. Титр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реагінових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 до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T.pallidum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є достатнім для отримання позитивного результату 4+ в РМП  1x1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Позитивний контроль 2+.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Рідкий, готовий до використання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Інактивована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сироватка крові хворих на сифіліс пацієнтів, яка містить антитіла до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кардіоліпінового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антигену. Титр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реагінових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 до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T.pallidum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є достатнім для отримання позитивного результату 2+ в РМП   1x1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Негативний контроль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(рідкий, готовий до використання)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Інактивована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сироватка крові людини, що не містить антитіла до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T.pallidum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,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ВІЛ-1, ВІЛ-2, вірусу гепатиту С та антигени р24 ВІЛ-1 і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HBsAg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[світло-жовтий]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1x1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 Інструкція з використання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 шт.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Реагенти розфасовані у пластикові пробірки.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Набір зберігають і транспортують в захищеному від світла місці за температури (2-8)°С. Не заморожувати.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Дозволяється транспортування за температури (9- 25)°С протягом десяти діб.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C75D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Гемоглобін 2000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55872 Загальний гемоглобін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застосовують для визначення концентрації гемоглобіну у крові людини.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800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або 400 макровизначень (з урахуванням холостих проб). 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30 г/л до 200 г/л.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2 %.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10 на 0,001 од. оптичної щільності - не більше 0,4 г/л (540 нм).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3D76A5" w:rsidRPr="00C861B6" w:rsidRDefault="003D76A5" w:rsidP="00453D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40" w:lineRule="auto"/>
              <w:rPr>
                <w:sz w:val="20"/>
                <w:szCs w:val="20"/>
              </w:rPr>
            </w:pPr>
            <w:r w:rsidRPr="00C861B6">
              <w:rPr>
                <w:rStyle w:val="2Exact"/>
                <w:sz w:val="20"/>
                <w:szCs w:val="20"/>
              </w:rPr>
              <w:t>Окислювальний реагент</w:t>
            </w:r>
            <w:r w:rsidRPr="00C861B6">
              <w:rPr>
                <w:sz w:val="20"/>
                <w:szCs w:val="20"/>
              </w:rPr>
              <w:t xml:space="preserve"> - 1 флакон з (50 ± 2) мл;</w:t>
            </w:r>
          </w:p>
          <w:p w:rsidR="003D76A5" w:rsidRPr="00C861B6" w:rsidRDefault="003D76A5" w:rsidP="00453D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sz w:val="20"/>
                <w:szCs w:val="20"/>
              </w:rPr>
            </w:pPr>
            <w:r w:rsidRPr="00C861B6">
              <w:rPr>
                <w:sz w:val="20"/>
                <w:szCs w:val="20"/>
              </w:rPr>
              <w:t xml:space="preserve">Калібрувальний розчин </w:t>
            </w:r>
            <w:proofErr w:type="spellStart"/>
            <w:r w:rsidRPr="00C861B6">
              <w:rPr>
                <w:sz w:val="20"/>
                <w:szCs w:val="20"/>
              </w:rPr>
              <w:t>геміглобінціаніду</w:t>
            </w:r>
            <w:proofErr w:type="spellEnd"/>
            <w:r w:rsidRPr="00C861B6">
              <w:rPr>
                <w:sz w:val="20"/>
                <w:szCs w:val="20"/>
              </w:rPr>
              <w:t xml:space="preserve"> (відповідає пробі крові з концентрацією гемоглобіну (150 ± 3) г/л) - 1 ампула з (5,0 ± 0,5) мл;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rStyle w:val="2Exact"/>
                <w:sz w:val="20"/>
                <w:szCs w:val="20"/>
              </w:rPr>
              <w:t xml:space="preserve">3. </w:t>
            </w:r>
            <w:proofErr w:type="spellStart"/>
            <w:r w:rsidRPr="00C861B6">
              <w:rPr>
                <w:rStyle w:val="2Exact"/>
                <w:sz w:val="20"/>
                <w:szCs w:val="20"/>
              </w:rPr>
              <w:t>Ацетонціангідрин</w:t>
            </w:r>
            <w:proofErr w:type="spellEnd"/>
            <w:r w:rsidRPr="00C861B6">
              <w:rPr>
                <w:sz w:val="20"/>
                <w:szCs w:val="20"/>
              </w:rPr>
              <w:t xml:space="preserve"> - 1 ампула з (1,5 ± 0,1) мл;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70</w:t>
            </w:r>
          </w:p>
        </w:tc>
      </w:tr>
      <w:tr w:rsidR="003D76A5" w:rsidRPr="00C861B6" w:rsidTr="000F1698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реагентів для РМП RPR-03-4 (1000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0F1698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51819 -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Treponema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pallidum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reagin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antibody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реакція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pStyle w:val="20"/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861B6">
              <w:rPr>
                <w:sz w:val="20"/>
                <w:szCs w:val="20"/>
              </w:rPr>
              <w:t xml:space="preserve">Набір розрахований на 1000 </w:t>
            </w:r>
            <w:proofErr w:type="spellStart"/>
            <w:r w:rsidRPr="00C861B6">
              <w:rPr>
                <w:sz w:val="20"/>
                <w:szCs w:val="20"/>
              </w:rPr>
              <w:t>визн</w:t>
            </w:r>
            <w:proofErr w:type="spellEnd"/>
            <w:r w:rsidRPr="00C861B6">
              <w:rPr>
                <w:sz w:val="20"/>
                <w:szCs w:val="20"/>
              </w:rPr>
              <w:t xml:space="preserve">. </w:t>
            </w:r>
            <w:proofErr w:type="spellStart"/>
            <w:r w:rsidRPr="00C861B6">
              <w:rPr>
                <w:sz w:val="20"/>
                <w:szCs w:val="20"/>
              </w:rPr>
              <w:t>Кардіоліпіновий</w:t>
            </w:r>
            <w:proofErr w:type="spellEnd"/>
            <w:r w:rsidRPr="00C861B6">
              <w:rPr>
                <w:sz w:val="20"/>
                <w:szCs w:val="20"/>
              </w:rPr>
              <w:t xml:space="preserve"> антиген (готовий до використання), Суспензія </w:t>
            </w:r>
            <w:proofErr w:type="spellStart"/>
            <w:r w:rsidRPr="00C861B6">
              <w:rPr>
                <w:sz w:val="20"/>
                <w:szCs w:val="20"/>
              </w:rPr>
              <w:t>кардіоліпіну</w:t>
            </w:r>
            <w:proofErr w:type="spellEnd"/>
            <w:r w:rsidRPr="00C861B6">
              <w:rPr>
                <w:sz w:val="20"/>
                <w:szCs w:val="20"/>
              </w:rPr>
              <w:t xml:space="preserve">, лецитину, холестерину в 10% розчині холін-хлориду, яка містить стабілізатор та консервант.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0F1698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/>
              </w:rPr>
              <w:t>наб</w:t>
            </w:r>
            <w:r w:rsidR="003D76A5" w:rsidRPr="00C861B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/>
              </w:rPr>
              <w:t>6</w:t>
            </w:r>
          </w:p>
        </w:tc>
      </w:tr>
      <w:tr w:rsidR="003D76A5" w:rsidRPr="00C861B6" w:rsidTr="00E875FC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0F169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Сечовина -У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Уреазний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0F1698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53587 Сечовина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Urea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призначений для визначення концентрації сечовини у сечі та сироватці крові людини.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(з урахуванням холостих та калібрувальних проб) на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200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визначень сечовини.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1 ммоль/л до 17 ммоль/л.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5 %.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8 на 0,001 од. оптичної щільності - не більше 0,05 ммоль/л (570 нм).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Буферний розчин - 2 флакони по (100 ±2)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фосфатний буфер (120 ± 6)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саліцилат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(60 ± 3)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нітропрусид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(5,0 ± 0,2)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ЕДТО кислота (1,00 ± 0,05)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2.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Гіпохлоритний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 - 2 флакони по (100 ±2)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гіпохлорит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(10,0 ± 0,5)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гідроокис натрію (0,40 ± 0,02) 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Калібрувальний розчин сечовини -1 флакон з (5,0 ± 0,5)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сечовина (10,0 ± 0,5) ммоль/л у перерахуванні на азот сечовини (4,67 ±0,10) ммоль/л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Уреаза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концентрат 5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кМОд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/мл - 2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пробірки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по (0,50 ± 0,05) мл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0F1698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9A335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Тимолова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проба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251307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43203 Набір для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проведення тимолової проби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 Набір призначений для проведення тимолової проби з сироваткою крові людини.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Набір розрахований на 228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457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або 915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помутніння - від 0 од. S-H до 20 од. S-H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Shank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Hoagland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10 %.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7 на 0,001 од. оптичної щільності — не більше 0,03 од. S-H (630 нм).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16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Тимоловий реагент - 1 флакон з (16,5 + 1,5) мл;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тимол (7,89 + 0,50) %;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спирто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-альдегідна фракція (55,05 + 2,50) %; малеїнова кислота (1,43 ± 0,10) %;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тріс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-(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гідроксиметил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)-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амінометан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(4,05 + 0,20)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Розчин хлориду барію (48 + 2) ммоль/л - 1 ампула з (5,0 + 0,3) мл;</w:t>
            </w:r>
          </w:p>
          <w:p w:rsidR="003D76A5" w:rsidRPr="00C861B6" w:rsidRDefault="003D76A5" w:rsidP="00453D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40" w:lineRule="auto"/>
              <w:ind w:hanging="440"/>
              <w:rPr>
                <w:sz w:val="20"/>
                <w:szCs w:val="20"/>
              </w:rPr>
            </w:pPr>
            <w:r w:rsidRPr="00C861B6">
              <w:rPr>
                <w:color w:val="000000"/>
                <w:sz w:val="20"/>
                <w:szCs w:val="20"/>
              </w:rPr>
              <w:t>3. Концентрат розчину порівняння  - 1 флакон з (11,0 ± 0,5)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3D76A5" w:rsidRPr="00C861B6" w:rsidTr="00E875FC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Тромбопластин (1 г/фл.)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9A335E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55986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Протромбіновий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час (ПЧ)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реагент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Призначений для визначення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протромбінового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часу (ПТВ) та обчислення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протромбінового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індексу – показника оцінки зовнішнього шляху згортання крові.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Активність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тромбопластину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Квіком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15 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Кількість реагенту: 1 фл. з 1 гр. порошку світло-коричневого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коліру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Кількість визначень: 1000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Філісіт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-КГБС (4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10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5932DF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30219 Множинні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аналіти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сечі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контрольний матеріал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Контрольні розчини призначені для побудови калібрувального графіка, контролю правильності та відтворюваності вимірювань при визначенні концентрації білка, глюкози та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в сечі та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спиномозковій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рідині (СМР), у клініко-діагностичних та біохімічних лабораторіях.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Діапазон концентрацій білка- від 50 мг/л до 1000 мг/л.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Діапазон концентрацій глюкози - від 1,5 ммоль/л до 7 ммоль/л.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концентрації - не більше 5%.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 Контрольні розчини А,Б,В,Г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- 4 флакони з (10,0 ± 0,5)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(точне значення концентрації білку, глюкози та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зазначено на флаконах з контрольними розчинами). 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строк придатності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ФілоНорм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(1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3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9C1B37" w:rsidP="009C1B37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47869</w:t>
            </w:r>
            <w:r w:rsidR="005932DF"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9C1B37">
              <w:rPr>
                <w:color w:val="000000"/>
                <w:sz w:val="20"/>
                <w:szCs w:val="20"/>
                <w:lang w:val="uk-UA" w:eastAsia="uk-UA"/>
              </w:rPr>
              <w:t xml:space="preserve">Множинні </w:t>
            </w:r>
            <w:proofErr w:type="spellStart"/>
            <w:r w:rsidRPr="009C1B37">
              <w:rPr>
                <w:color w:val="000000"/>
                <w:sz w:val="20"/>
                <w:szCs w:val="20"/>
                <w:lang w:val="uk-UA" w:eastAsia="uk-UA"/>
              </w:rPr>
              <w:t>аналіти</w:t>
            </w:r>
            <w:proofErr w:type="spellEnd"/>
            <w:r w:rsidRPr="009C1B37">
              <w:rPr>
                <w:color w:val="000000"/>
                <w:sz w:val="20"/>
                <w:szCs w:val="20"/>
                <w:lang w:val="uk-UA" w:eastAsia="uk-UA"/>
              </w:rPr>
              <w:t xml:space="preserve"> клінічної хімії IVD (діагностика </w:t>
            </w:r>
            <w:proofErr w:type="spellStart"/>
            <w:r w:rsidRPr="009C1B37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9C1B37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B37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9C1B37">
              <w:rPr>
                <w:color w:val="000000"/>
                <w:sz w:val="20"/>
                <w:szCs w:val="20"/>
                <w:lang w:val="uk-UA" w:eastAsia="uk-UA"/>
              </w:rPr>
              <w:t>), контрольний матеріал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Контрольний матеріал 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ФілоНорм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представляє собою пористу масу у вигляді таблетки від білого до темно-жовтого кольору, одержану шляхом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ліофілізації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розчину на основі сироватки крові тварин або сам розчин від жовтого до темно-жовтого кольору.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ФілоНорм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призначений для контролю відтворюваності виконання біохімічних аналізів у клініко-діагностичних лабораторіях.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ФілоНорм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»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ліофілізат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або розчин)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(3,0 ± 0,1) мл.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матеріалу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ФілоПат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(1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3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5932DF" w:rsidP="009C1B3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4</w:t>
            </w:r>
            <w:r w:rsidR="009C1B37">
              <w:rPr>
                <w:sz w:val="20"/>
                <w:szCs w:val="20"/>
                <w:lang w:val="uk-UA" w:eastAsia="uk-UA"/>
              </w:rPr>
              <w:t xml:space="preserve">7869 </w:t>
            </w:r>
            <w:r w:rsidR="009C1B37" w:rsidRPr="009C1B37">
              <w:rPr>
                <w:sz w:val="20"/>
                <w:szCs w:val="20"/>
                <w:lang w:val="uk-UA" w:eastAsia="uk-UA"/>
              </w:rPr>
              <w:t xml:space="preserve">Множинні </w:t>
            </w:r>
            <w:proofErr w:type="spellStart"/>
            <w:r w:rsidR="009C1B37" w:rsidRPr="009C1B37">
              <w:rPr>
                <w:sz w:val="20"/>
                <w:szCs w:val="20"/>
                <w:lang w:val="uk-UA" w:eastAsia="uk-UA"/>
              </w:rPr>
              <w:t>аналіти</w:t>
            </w:r>
            <w:proofErr w:type="spellEnd"/>
            <w:r w:rsidR="009C1B37" w:rsidRPr="009C1B37">
              <w:rPr>
                <w:sz w:val="20"/>
                <w:szCs w:val="20"/>
                <w:lang w:val="uk-UA" w:eastAsia="uk-UA"/>
              </w:rPr>
              <w:t xml:space="preserve"> клінічної хімії IVD (діагностика </w:t>
            </w:r>
            <w:proofErr w:type="spellStart"/>
            <w:r w:rsidR="009C1B37" w:rsidRPr="009C1B37">
              <w:rPr>
                <w:sz w:val="20"/>
                <w:szCs w:val="20"/>
                <w:lang w:val="uk-UA" w:eastAsia="uk-UA"/>
              </w:rPr>
              <w:t>in</w:t>
            </w:r>
            <w:proofErr w:type="spellEnd"/>
            <w:r w:rsidR="009C1B37" w:rsidRPr="009C1B3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9C1B37" w:rsidRPr="009C1B37">
              <w:rPr>
                <w:sz w:val="20"/>
                <w:szCs w:val="20"/>
                <w:lang w:val="uk-UA" w:eastAsia="uk-UA"/>
              </w:rPr>
              <w:t>vitro</w:t>
            </w:r>
            <w:proofErr w:type="spellEnd"/>
            <w:r w:rsidR="009C1B37" w:rsidRPr="009C1B37">
              <w:rPr>
                <w:sz w:val="20"/>
                <w:szCs w:val="20"/>
                <w:lang w:val="uk-UA" w:eastAsia="uk-UA"/>
              </w:rPr>
              <w:t xml:space="preserve">), контрольний </w:t>
            </w:r>
            <w:r w:rsidR="009C1B37" w:rsidRPr="009C1B37">
              <w:rPr>
                <w:sz w:val="20"/>
                <w:szCs w:val="20"/>
                <w:lang w:val="uk-UA" w:eastAsia="uk-UA"/>
              </w:rPr>
              <w:lastRenderedPageBreak/>
              <w:t>матеріал</w:t>
            </w:r>
            <w:bookmarkStart w:id="0" w:name="_GoBack"/>
            <w:bookmarkEnd w:id="0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lastRenderedPageBreak/>
              <w:t> Контрольний матеріал 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ФілоПат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» представляє собою пористу масу у вигляді таблетки від білого до темно-жовтого кольору, одержану шляхом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ліофілізації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розчину на основі сироватки крові тварин або сам розчин від жовтого до темно-жовтого кольору.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ФілоПат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» призначений для контролю відтворюваності виконання біохімічних аналізів у клініко-діагностичних лабораторіях.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Зберігання матеріалу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lastRenderedPageBreak/>
              <w:t>Гарантійний термін придатності - 12 місяців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ФілоПат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»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ліофілізат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або розчин)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(3,0 ± 0,1)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sz w:val="20"/>
                <w:szCs w:val="20"/>
                <w:lang w:val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sz w:val="20"/>
                <w:szCs w:val="20"/>
                <w:lang w:val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Філісіт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-СРБ-латекс»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AA07AC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 xml:space="preserve">63234 C-реактивний білок (CRP) IVD (діагностика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), набір, аглютинація, експрес-аналіз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 xml:space="preserve">Набір розрахований на 200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- (вимірюваний об'єм 0,01 мл) концентрації СРБ (з урахуванням контрольних проб). Діапазон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концентрацій - від 6 мг/л до 1600 мг/л.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</w:tr>
      <w:tr w:rsidR="003D76A5" w:rsidRPr="00C861B6" w:rsidTr="00E875FC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E51179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Філісіт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-РФ-латекс»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C861B6" w:rsidRDefault="00AA07AC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/>
              </w:rPr>
              <w:t xml:space="preserve">55112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Ревматоїдний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чинник IVD (діагностика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vitro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), набір, реакція аглютинації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 xml:space="preserve">Набір розрахований на 200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- (вимірюваний об'єм 0,01 мл) концентрації РФ (з урахуванням контрольних проб). Діапазон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концентрацій - від 8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МОд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/мл до 800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МОд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/мл.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</w:tr>
      <w:tr w:rsidR="003D76A5" w:rsidRPr="003C7538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Філісіт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-АСЛ-О-латекс»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C861B6" w:rsidRDefault="00AA07AC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/>
              </w:rPr>
              <w:t xml:space="preserve">63271 Бета-гемолітична численна група стрептококів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стрептолізин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O, антитіла IVD (діагностика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vitro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>), набір, аглютинація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 xml:space="preserve">Набір розрахований на 200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- (вимірюваний об'єм 0,01 мл) концентрації АСЛ-О (з урахуванням контрольних проб). Діапазон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концентрацій - від 200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МОд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/мл до 1500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МОд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/мл.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C7538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</w:tbl>
    <w:p w:rsidR="003822E0" w:rsidRPr="003C7538" w:rsidRDefault="003822E0" w:rsidP="003822E0">
      <w:pPr>
        <w:ind w:right="-25"/>
        <w:jc w:val="center"/>
        <w:rPr>
          <w:b/>
          <w:color w:val="000000"/>
          <w:lang w:val="uk-UA" w:eastAsia="ar-SA"/>
        </w:rPr>
      </w:pPr>
    </w:p>
    <w:p w:rsidR="007E1EB5" w:rsidRDefault="00325F0E" w:rsidP="007A01AF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325F0E">
        <w:rPr>
          <w:lang w:val="uk-UA"/>
        </w:rPr>
        <w:t xml:space="preserve">Поставка товару </w:t>
      </w:r>
      <w:r>
        <w:rPr>
          <w:lang w:val="uk-UA"/>
        </w:rPr>
        <w:t xml:space="preserve">повинна здійснюватися </w:t>
      </w:r>
      <w:r w:rsidRPr="00325F0E">
        <w:rPr>
          <w:lang w:val="uk-UA"/>
        </w:rPr>
        <w:t>у строк до 5 робочих днів з дня отримання замовлення (усного чи письмового) на постачання товару. Тара та упаковка повинна відповідати вимогам встановленим до даного виду товару і захищати його від пошкоджень під час перевезення. Вантажно-</w:t>
      </w:r>
      <w:proofErr w:type="spellStart"/>
      <w:r w:rsidRPr="00325F0E">
        <w:rPr>
          <w:lang w:val="uk-UA"/>
        </w:rPr>
        <w:t>розванатжувальні</w:t>
      </w:r>
      <w:proofErr w:type="spellEnd"/>
      <w:r w:rsidRPr="00325F0E">
        <w:rPr>
          <w:lang w:val="uk-UA"/>
        </w:rPr>
        <w:t xml:space="preserve"> роботи проводяться за рахунок постачальника. Постачальник зобов’язується у випадку поставки товару неналежної якості замінити товар, визначений в Договорі товаром належної якості, протягом 3 календарних днів. Всі витрати пов’язані із заміною товару неналежної якості несе Постачальник. </w:t>
      </w:r>
    </w:p>
    <w:p w:rsidR="00B75186" w:rsidRPr="006B4ADE" w:rsidRDefault="00B75186" w:rsidP="007A01AF">
      <w:pPr>
        <w:jc w:val="both"/>
        <w:rPr>
          <w:lang w:val="uk-UA"/>
        </w:rPr>
      </w:pPr>
      <w:proofErr w:type="spellStart"/>
      <w:r w:rsidRPr="00B75186">
        <w:rPr>
          <w:lang w:val="uk-UA"/>
        </w:rPr>
        <w:t>Кетон</w:t>
      </w:r>
      <w:proofErr w:type="spellEnd"/>
      <w:r w:rsidRPr="00B75186">
        <w:rPr>
          <w:lang w:val="uk-UA"/>
        </w:rPr>
        <w:t xml:space="preserve"> (</w:t>
      </w:r>
      <w:proofErr w:type="spellStart"/>
      <w:r w:rsidRPr="00B75186">
        <w:rPr>
          <w:lang w:val="uk-UA"/>
        </w:rPr>
        <w:t>ацетоацетат</w:t>
      </w:r>
      <w:proofErr w:type="spellEnd"/>
      <w:r w:rsidRPr="00B75186">
        <w:rPr>
          <w:lang w:val="uk-UA"/>
        </w:rPr>
        <w:t xml:space="preserve">) IVD (діагностика </w:t>
      </w:r>
      <w:proofErr w:type="spellStart"/>
      <w:r w:rsidRPr="00B75186">
        <w:rPr>
          <w:lang w:val="uk-UA"/>
        </w:rPr>
        <w:t>in</w:t>
      </w:r>
      <w:proofErr w:type="spellEnd"/>
      <w:r w:rsidRPr="00B75186">
        <w:rPr>
          <w:lang w:val="uk-UA"/>
        </w:rPr>
        <w:t xml:space="preserve"> </w:t>
      </w:r>
      <w:proofErr w:type="spellStart"/>
      <w:r w:rsidRPr="00B75186">
        <w:rPr>
          <w:lang w:val="uk-UA"/>
        </w:rPr>
        <w:t>vitro</w:t>
      </w:r>
      <w:proofErr w:type="spellEnd"/>
      <w:r w:rsidRPr="00B75186">
        <w:rPr>
          <w:lang w:val="uk-UA"/>
        </w:rPr>
        <w:t xml:space="preserve"> ), реагент</w:t>
      </w:r>
    </w:p>
    <w:sectPr w:rsidR="00B75186" w:rsidRPr="006B4ADE" w:rsidSect="003822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A6A"/>
    <w:multiLevelType w:val="singleLevel"/>
    <w:tmpl w:val="4704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F6D7165"/>
    <w:multiLevelType w:val="multilevel"/>
    <w:tmpl w:val="8CCA91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F432AD"/>
    <w:multiLevelType w:val="hybridMultilevel"/>
    <w:tmpl w:val="CA48D892"/>
    <w:lvl w:ilvl="0" w:tplc="0C50B19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FC"/>
    <w:rsid w:val="000140CF"/>
    <w:rsid w:val="00054A49"/>
    <w:rsid w:val="0006327E"/>
    <w:rsid w:val="00064F96"/>
    <w:rsid w:val="000668F6"/>
    <w:rsid w:val="00082C3C"/>
    <w:rsid w:val="00085680"/>
    <w:rsid w:val="00087787"/>
    <w:rsid w:val="00087858"/>
    <w:rsid w:val="000B2DF5"/>
    <w:rsid w:val="000C1B55"/>
    <w:rsid w:val="000D5FD4"/>
    <w:rsid w:val="000D60ED"/>
    <w:rsid w:val="000F1698"/>
    <w:rsid w:val="001129DA"/>
    <w:rsid w:val="00130B2D"/>
    <w:rsid w:val="00160A9D"/>
    <w:rsid w:val="001A0B99"/>
    <w:rsid w:val="001C628E"/>
    <w:rsid w:val="001E1606"/>
    <w:rsid w:val="0020543B"/>
    <w:rsid w:val="00207B48"/>
    <w:rsid w:val="002355D9"/>
    <w:rsid w:val="00236AE2"/>
    <w:rsid w:val="00237D7E"/>
    <w:rsid w:val="00251307"/>
    <w:rsid w:val="002515DE"/>
    <w:rsid w:val="00265DC7"/>
    <w:rsid w:val="00276BA7"/>
    <w:rsid w:val="002872FC"/>
    <w:rsid w:val="002924B5"/>
    <w:rsid w:val="00295FE8"/>
    <w:rsid w:val="002A4A42"/>
    <w:rsid w:val="002D10CF"/>
    <w:rsid w:val="002D471E"/>
    <w:rsid w:val="002F4D12"/>
    <w:rsid w:val="00312990"/>
    <w:rsid w:val="003220E4"/>
    <w:rsid w:val="00325F0E"/>
    <w:rsid w:val="003414F5"/>
    <w:rsid w:val="003514A5"/>
    <w:rsid w:val="00362C23"/>
    <w:rsid w:val="003822E0"/>
    <w:rsid w:val="0039242F"/>
    <w:rsid w:val="00393A94"/>
    <w:rsid w:val="00395C36"/>
    <w:rsid w:val="00396E58"/>
    <w:rsid w:val="003C7538"/>
    <w:rsid w:val="003D6AFA"/>
    <w:rsid w:val="003D76A5"/>
    <w:rsid w:val="003F2725"/>
    <w:rsid w:val="00415D65"/>
    <w:rsid w:val="00424578"/>
    <w:rsid w:val="00426640"/>
    <w:rsid w:val="00435B28"/>
    <w:rsid w:val="00445153"/>
    <w:rsid w:val="0044587F"/>
    <w:rsid w:val="00453D0C"/>
    <w:rsid w:val="004A3973"/>
    <w:rsid w:val="004A6962"/>
    <w:rsid w:val="004A747C"/>
    <w:rsid w:val="004B1481"/>
    <w:rsid w:val="004B4587"/>
    <w:rsid w:val="004D57CA"/>
    <w:rsid w:val="00516A9D"/>
    <w:rsid w:val="00522451"/>
    <w:rsid w:val="00523254"/>
    <w:rsid w:val="00555B31"/>
    <w:rsid w:val="00562D9B"/>
    <w:rsid w:val="00564929"/>
    <w:rsid w:val="00575168"/>
    <w:rsid w:val="00590536"/>
    <w:rsid w:val="005932DF"/>
    <w:rsid w:val="005B080C"/>
    <w:rsid w:val="005B1DA0"/>
    <w:rsid w:val="005D74A7"/>
    <w:rsid w:val="005E4D91"/>
    <w:rsid w:val="005E6BDC"/>
    <w:rsid w:val="005E73B3"/>
    <w:rsid w:val="006911FB"/>
    <w:rsid w:val="006B4ADE"/>
    <w:rsid w:val="006C66B0"/>
    <w:rsid w:val="006D5C9C"/>
    <w:rsid w:val="006D7E97"/>
    <w:rsid w:val="006F479B"/>
    <w:rsid w:val="007A01AF"/>
    <w:rsid w:val="007C0DD3"/>
    <w:rsid w:val="007C0F3B"/>
    <w:rsid w:val="007E1EB5"/>
    <w:rsid w:val="007E20D3"/>
    <w:rsid w:val="00801A1A"/>
    <w:rsid w:val="008070E1"/>
    <w:rsid w:val="008234F3"/>
    <w:rsid w:val="00826AB5"/>
    <w:rsid w:val="0084165A"/>
    <w:rsid w:val="0085100D"/>
    <w:rsid w:val="00851F93"/>
    <w:rsid w:val="008D3979"/>
    <w:rsid w:val="008E604A"/>
    <w:rsid w:val="00924CA8"/>
    <w:rsid w:val="00926737"/>
    <w:rsid w:val="00934477"/>
    <w:rsid w:val="00957B61"/>
    <w:rsid w:val="00972874"/>
    <w:rsid w:val="00980A41"/>
    <w:rsid w:val="009A335E"/>
    <w:rsid w:val="009A7B63"/>
    <w:rsid w:val="009C1B37"/>
    <w:rsid w:val="00A04252"/>
    <w:rsid w:val="00A7712D"/>
    <w:rsid w:val="00AA07AC"/>
    <w:rsid w:val="00AA5D6D"/>
    <w:rsid w:val="00AB662D"/>
    <w:rsid w:val="00AC0F07"/>
    <w:rsid w:val="00AC5F47"/>
    <w:rsid w:val="00AD4504"/>
    <w:rsid w:val="00B16E3A"/>
    <w:rsid w:val="00B44C60"/>
    <w:rsid w:val="00B75186"/>
    <w:rsid w:val="00B779F7"/>
    <w:rsid w:val="00B86477"/>
    <w:rsid w:val="00B90B0E"/>
    <w:rsid w:val="00BA452A"/>
    <w:rsid w:val="00BD77D6"/>
    <w:rsid w:val="00BF1BCE"/>
    <w:rsid w:val="00C45975"/>
    <w:rsid w:val="00C75DDD"/>
    <w:rsid w:val="00C76F28"/>
    <w:rsid w:val="00C861B6"/>
    <w:rsid w:val="00C90415"/>
    <w:rsid w:val="00CE4545"/>
    <w:rsid w:val="00CF2907"/>
    <w:rsid w:val="00CF4003"/>
    <w:rsid w:val="00D24135"/>
    <w:rsid w:val="00D554C4"/>
    <w:rsid w:val="00D56651"/>
    <w:rsid w:val="00D57C0A"/>
    <w:rsid w:val="00D659AF"/>
    <w:rsid w:val="00D662D9"/>
    <w:rsid w:val="00D92E6D"/>
    <w:rsid w:val="00DA590E"/>
    <w:rsid w:val="00DA6293"/>
    <w:rsid w:val="00DB1A76"/>
    <w:rsid w:val="00DC1907"/>
    <w:rsid w:val="00DC6896"/>
    <w:rsid w:val="00DE6164"/>
    <w:rsid w:val="00DF4083"/>
    <w:rsid w:val="00E442CF"/>
    <w:rsid w:val="00E51179"/>
    <w:rsid w:val="00E72F1B"/>
    <w:rsid w:val="00E86E50"/>
    <w:rsid w:val="00EA6080"/>
    <w:rsid w:val="00EB30A4"/>
    <w:rsid w:val="00EC2C02"/>
    <w:rsid w:val="00F12EAA"/>
    <w:rsid w:val="00F34865"/>
    <w:rsid w:val="00F40647"/>
    <w:rsid w:val="00F81C6D"/>
    <w:rsid w:val="00F9636F"/>
    <w:rsid w:val="00FA66AB"/>
    <w:rsid w:val="00FB1AA9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822E0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2E0"/>
    <w:pPr>
      <w:widowControl w:val="0"/>
      <w:shd w:val="clear" w:color="auto" w:fill="FFFFFF"/>
      <w:spacing w:line="269" w:lineRule="exact"/>
      <w:ind w:hanging="380"/>
    </w:pPr>
    <w:rPr>
      <w:sz w:val="22"/>
      <w:szCs w:val="22"/>
      <w:lang w:val="uk-UA" w:eastAsia="uk-UA"/>
    </w:rPr>
  </w:style>
  <w:style w:type="character" w:customStyle="1" w:styleId="2Exact">
    <w:name w:val="Основной текст (2) Exact"/>
    <w:basedOn w:val="a0"/>
    <w:rsid w:val="003822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Standard">
    <w:name w:val="Standard"/>
    <w:qFormat/>
    <w:rsid w:val="00325F0E"/>
    <w:pPr>
      <w:suppressAutoHyphens/>
    </w:pPr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325F0E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822E0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2E0"/>
    <w:pPr>
      <w:widowControl w:val="0"/>
      <w:shd w:val="clear" w:color="auto" w:fill="FFFFFF"/>
      <w:spacing w:line="269" w:lineRule="exact"/>
      <w:ind w:hanging="380"/>
    </w:pPr>
    <w:rPr>
      <w:sz w:val="22"/>
      <w:szCs w:val="22"/>
      <w:lang w:val="uk-UA" w:eastAsia="uk-UA"/>
    </w:rPr>
  </w:style>
  <w:style w:type="character" w:customStyle="1" w:styleId="2Exact">
    <w:name w:val="Основной текст (2) Exact"/>
    <w:basedOn w:val="a0"/>
    <w:rsid w:val="003822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Standard">
    <w:name w:val="Standard"/>
    <w:qFormat/>
    <w:rsid w:val="00325F0E"/>
    <w:pPr>
      <w:suppressAutoHyphens/>
    </w:pPr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325F0E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52CA-662A-44EA-A6A4-91D8744F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СПД Живалюк И</vt:lpstr>
    </vt:vector>
  </TitlesOfParts>
  <Company>Home</Company>
  <LinksUpToDate>false</LinksUpToDate>
  <CharactersWithSpaces>26683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СПД Живалюк И</dc:title>
  <dc:creator>Garry</dc:creator>
  <cp:lastModifiedBy>admin</cp:lastModifiedBy>
  <cp:revision>3</cp:revision>
  <cp:lastPrinted>2024-01-22T06:38:00Z</cp:lastPrinted>
  <dcterms:created xsi:type="dcterms:W3CDTF">2024-01-17T06:20:00Z</dcterms:created>
  <dcterms:modified xsi:type="dcterms:W3CDTF">2024-01-22T08:08:00Z</dcterms:modified>
</cp:coreProperties>
</file>