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8998" w14:textId="77777777" w:rsidR="000E4CF5" w:rsidRDefault="000E4CF5" w:rsidP="000E4CF5"/>
    <w:p w14:paraId="75C90EDD" w14:textId="3D737797" w:rsidR="00922032" w:rsidRDefault="000E4CF5" w:rsidP="000E4CF5">
      <w:r>
        <w:t xml:space="preserve"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</w:t>
      </w:r>
      <w:bookmarkStart w:id="0" w:name="_GoBack"/>
      <w:bookmarkEnd w:id="0"/>
      <w:r>
        <w:t>в Україні та протягом 90 днів з дня його припинення або скасування».</w:t>
      </w:r>
    </w:p>
    <w:sectPr w:rsidR="009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ED"/>
    <w:rsid w:val="000E4CF5"/>
    <w:rsid w:val="004B30ED"/>
    <w:rsid w:val="009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B441-37B7-4305-A47C-9DE10C0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380631138204</dc:creator>
  <cp:keywords/>
  <dc:description/>
  <cp:lastModifiedBy>380631138204</cp:lastModifiedBy>
  <cp:revision>2</cp:revision>
  <dcterms:created xsi:type="dcterms:W3CDTF">2023-05-31T10:39:00Z</dcterms:created>
  <dcterms:modified xsi:type="dcterms:W3CDTF">2023-05-31T10:39:00Z</dcterms:modified>
</cp:coreProperties>
</file>