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A5E9E0"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right"/>
      </w:pPr>
      <w:r>
        <w:t>ДОДАТОК 2</w:t>
      </w:r>
    </w:p>
    <w:p>
      <w:pPr>
        <w:jc w:val="right"/>
        <w:rPr>
          <w:i w:val="1"/>
        </w:rPr>
      </w:pPr>
      <w:r>
        <w:rPr>
          <w:b w:val="0"/>
        </w:rPr>
        <w:t>до тендерної документації</w:t>
      </w:r>
    </w:p>
    <w:p>
      <w:pPr>
        <w:widowControl w:val="1"/>
        <w:suppressAutoHyphens w:val="0"/>
      </w:pPr>
      <w:r>
        <w:t xml:space="preserve">ТЕХНІЧНІ, ЯКІСНІ ТА КІЛЬКІСНІ ВИМОГИ ДО ПРЕДМЕТА ЗАКУПІВЛІ </w:t>
      </w:r>
    </w:p>
    <w:p>
      <w:pPr>
        <w:ind w:firstLine="284"/>
      </w:pPr>
      <w:r>
        <w:t>І. ТЕХНІЧНА СПЕЦИФІКАЦІЯ</w:t>
      </w:r>
    </w:p>
    <w:p>
      <w:pPr>
        <w:widowControl w:val="1"/>
        <w:suppressAutoHyphens w:val="0"/>
        <w:ind w:firstLine="284"/>
        <w:jc w:val="both"/>
        <w:rPr>
          <w:b w:val="0"/>
        </w:rPr>
      </w:pPr>
      <w:r>
        <w:rPr>
          <w:b w:val="0"/>
        </w:rPr>
        <w:t>Запропонований Учасником предмет закупівлі повинен мати наступні (або кращі) якісні, кількісні та технічні характеристики , а саме:</w:t>
      </w:r>
    </w:p>
    <w:p>
      <w:pPr>
        <w:widowControl w:val="1"/>
        <w:numPr>
          <w:ilvl w:val="0"/>
          <w:numId w:val="1"/>
        </w:numPr>
        <w:tabs>
          <w:tab w:val="left" w:pos="284" w:leader="none"/>
        </w:tabs>
        <w:suppressAutoHyphens w:val="0"/>
        <w:ind w:firstLine="360" w:left="0"/>
        <w:contextualSpacing w:val="1"/>
        <w:jc w:val="both"/>
        <w:rPr>
          <w:b w:val="0"/>
        </w:rPr>
      </w:pPr>
      <w:r>
        <w:rPr>
          <w:b w:val="0"/>
        </w:rPr>
        <w:t>вугілля кам`яне, марка ДГ, клас (або фракція) 13-100 мм, кількість 225 тонн повинне мати наступні якісні показники або кращі: нижча теплота згорання на робочий стан палива – не менше 5500 ккал/кг; зольність на сухий стан палива Ad, - не більше 14%; загальна волога на робочий стан палива Wrt, – не більше 14%. Якісні показники, що характеризують безпечність вугілля (хлор на сухий стан CID (%), миш’як на сухий стан (ASD)), мають відповідати (або не перевищувати) показникам в таблиці №2 ДСТУ 7146:2010.</w:t>
      </w:r>
    </w:p>
    <w:p>
      <w:pPr>
        <w:widowControl w:val="1"/>
        <w:suppressAutoHyphens w:val="0"/>
        <w:ind w:firstLine="284"/>
        <w:rPr>
          <w:b w:val="0"/>
        </w:rPr>
      </w:pPr>
      <w:r>
        <w:t>ІІ. ЗАГАЛЬНІ ВИМОГИ ДО ПРЕДМЕТУ ЗАКУПІВЛІ:</w:t>
      </w:r>
    </w:p>
    <w:p>
      <w:pPr>
        <w:widowControl w:val="1"/>
        <w:suppressAutoHyphens w:val="0"/>
        <w:ind w:firstLine="284"/>
        <w:jc w:val="both"/>
        <w:rPr>
          <w:b w:val="0"/>
        </w:rPr>
      </w:pPr>
      <w:r>
        <w:rPr>
          <w:b w:val="0"/>
        </w:rPr>
        <w:t xml:space="preserve">До відома: доставка, проведення навантажувально-розвантажувальних робіт та зважування товару, здійснюється </w:t>
      </w:r>
      <w:r>
        <w:rPr>
          <w:b w:val="0"/>
          <w:u w:val="single"/>
        </w:rPr>
        <w:t>учасником за власні кошти</w:t>
      </w:r>
      <w:r>
        <w:rPr>
          <w:b w:val="0"/>
        </w:rPr>
        <w:t>. Під час здійснення поставки товару, який є предметом закупівлі учасником повинен забезпечуватись комплекс заходів, що унеможливлять попадання у товар різних домішок, в тому числі ґрунту, каміння, сміття, а також інших речовин, що негативно впливають на технічні і якісні характеристики твердого палива, про що учасником повинен бути наданий відповідний гарантійний лист довільної форми у складі тендерної пропозиції.</w:t>
      </w:r>
    </w:p>
    <w:p>
      <w:pPr>
        <w:widowControl w:val="1"/>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0"/>
        <w:ind w:firstLine="284"/>
        <w:jc w:val="both"/>
        <w:rPr>
          <w:b w:val="0"/>
        </w:rPr>
      </w:pPr>
      <w:r>
        <w:rPr>
          <w:b w:val="0"/>
        </w:rPr>
        <w:t>Кожна поставка (відвантаження) твердого палива супроводжується посвідченням якості або іншим документом, що підтверджує якісні характеристики товару. Якщо тверде паливо, згідно наданого посвідчення якості (або іншого документа, що підтверджує якісні характеристики товару), не відповідає технічним вимогам тендерної документації та умовам договору – замовник не приймає даний товар.</w:t>
      </w:r>
    </w:p>
    <w:p>
      <w:pPr>
        <w:widowControl w:val="1"/>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0"/>
        <w:ind w:firstLine="284"/>
        <w:jc w:val="both"/>
        <w:rPr>
          <w:b w:val="0"/>
        </w:rPr>
      </w:pPr>
      <w:r>
        <w:rPr>
          <w:b w:val="0"/>
        </w:rPr>
        <w:t>Приймання Товару за кількістю і якістю здійснюється представником замовника.</w:t>
      </w:r>
    </w:p>
    <w:p>
      <w:pPr>
        <w:widowControl w:val="1"/>
        <w:shd w:val="clear" w:fill="FFFFFF"/>
        <w:suppressAutoHyphens w:val="0"/>
        <w:jc w:val="both"/>
        <w:rPr>
          <w:b w:val="0"/>
        </w:rPr>
      </w:pPr>
      <w:r>
        <w:rPr>
          <w:b w:val="0"/>
        </w:rPr>
        <w:t xml:space="preserve">Поставка твердого палива повинна здійснюватися партіями. Постачання твердого палива до місця призначення повинно відбуватися у світлий час доби. Поставка вугілля марки ДГ 13-100 має здійснюватись у мішках вагою 50 кг задля зручності завантаження-вивантаження під час опалювального періоду та контролю ваги. Учасник надає гарантійний лист із погодженням з даною умовою. Учасник надає гарантійний лист про те, що він зобовʼязується постачати тверде паливо партіями </w:t>
      </w:r>
      <w:bookmarkStart w:id="0" w:name="_GoBack"/>
      <w:bookmarkEnd w:id="0"/>
      <w:r>
        <w:rPr>
          <w:b w:val="0"/>
        </w:rPr>
        <w:t>у відповідності до заявок Замовника.</w:t>
      </w:r>
    </w:p>
    <w:p>
      <w:pPr>
        <w:widowControl w:val="1"/>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0"/>
        <w:jc w:val="both"/>
        <w:rPr>
          <w:b w:val="0"/>
        </w:rPr>
      </w:pPr>
      <w:r>
        <w:rPr>
          <w:b w:val="0"/>
        </w:rPr>
        <w:tab/>
        <w:t>Гарантійні зобов’язання постачальника полягають у поставці товару належної якості, придатного для використання за призначенням. Постачальник повинен вживати профілактичні заходи, що запобігають змерзанню твердого палива, сушінню, переморожуванню, промасленню тощо.</w:t>
      </w:r>
    </w:p>
    <w:p>
      <w:pPr>
        <w:widowControl w:val="1"/>
        <w:tabs>
          <w:tab w:val="center" w:pos="360" w:leader="none"/>
          <w:tab w:val="right" w:pos="9355" w:leader="none"/>
        </w:tabs>
        <w:ind w:firstLine="284"/>
      </w:pPr>
      <w:r>
        <w:t>ІІІ. ІНФОРМАЦІЯ ПРО ВІДПОВІДНІСТЬ ЗАПРОПОНОВАНОГО ПРЕДМЕТУ ЗАКУПІВЛІ ТЕХНІЧНІЙ СПЕЦИФІКАЦІЇ ТЕНДЕРНОЇ ДОКУМЕНТАЦІЇ ПОВИННА БУТИ ПІДТВЕРДЖЕНА:</w:t>
      </w:r>
    </w:p>
    <w:p>
      <w:pPr>
        <w:widowControl w:val="1"/>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0"/>
        <w:jc w:val="both"/>
        <w:rPr>
          <w:u w:val="single"/>
        </w:rPr>
      </w:pPr>
      <w:r>
        <w:rPr>
          <w:u w:val="single"/>
        </w:rPr>
        <w:t>Для підтвердження відповідності вугілля кам`яного:</w:t>
      </w:r>
    </w:p>
    <w:p>
      <w:pPr>
        <w:widowControl w:val="1"/>
        <w:shd w:val="clear" w:fill="FFFFFF"/>
        <w:suppressAutoHyphens w:val="0"/>
        <w:jc w:val="both"/>
        <w:rPr>
          <w:b w:val="0"/>
        </w:rPr>
      </w:pPr>
      <w:r>
        <w:t>1.</w:t>
      </w:r>
      <w:r>
        <w:rPr>
          <w:b w:val="0"/>
        </w:rPr>
        <w:t xml:space="preserve"> Довідкою у довільній формі, яка повинна містити інформацію щодо технічних, кількісних та якісних показників вугілля, в тому числі показників нижчої теплоти згорання на робочий стан палива, зольності на сухий стан палива, вологи на робочий стан палива, що буде постачатись згідно умов даної процедури закупівлі, а також інформацію про найменування виробника вугілля;</w:t>
      </w:r>
    </w:p>
    <w:p>
      <w:pPr>
        <w:widowControl w:val="1"/>
        <w:shd w:val="clear" w:fill="FFFFFF"/>
        <w:suppressAutoHyphens w:val="0"/>
        <w:jc w:val="both"/>
        <w:rPr>
          <w:b w:val="0"/>
        </w:rPr>
      </w:pPr>
      <w:r>
        <w:t>2.</w:t>
      </w:r>
      <w:r>
        <w:rPr>
          <w:b w:val="0"/>
        </w:rPr>
        <w:t xml:space="preserve"> Сканкопію сертифікату генетичних, технологічних та якісних характеристик, виданого ТК-92 "Вугілля та продукти його перероблення" або ДП "УкрНДІвуглезбагачення" або ВП «УКРНДІВУГЛЕЗБАГАЧЕННЯ» ДП «НТЦ «Вуглеінновація» або Українським науково-дослідним і проектно-конструкторським інститутом по збагаченню та брикетуванню вугілля або ДП «НТЦ «Вуглеінновація» на пропоноване вугілля та дійсного на дату розкриття пропозицій. Сертифікат генетичних, технологічних та якісних характеристик вугілля має містити інформацію про якісні показники вугілля, що вимагаються замовником в даних вимогах до предмету закупівлі. Якісні показники в сертифікаті генетичних, технологічних та якісних характеристик вугілля мають відповідати вимогам замовника, встановленим в розділі І Додатку 2 до тендерної документації, або бути кращими.</w:t>
      </w:r>
    </w:p>
    <w:p>
      <w:pPr>
        <w:pStyle w:val="P1"/>
        <w:spacing w:lineRule="auto" w:line="240" w:after="0"/>
        <w:ind w:firstLine="426"/>
        <w:jc w:val="both"/>
        <w:rPr>
          <w:color w:val="000000"/>
        </w:rPr>
      </w:pPr>
      <w:r>
        <w:rPr>
          <w:color w:val="000000"/>
          <w:shd w:val="clear" w:fill="FFFF00"/>
        </w:rPr>
        <w:t>Додатково інформуємо:</w:t>
      </w:r>
    </w:p>
    <w:p>
      <w:pPr>
        <w:widowControl w:val="0"/>
        <w:ind w:firstLine="284"/>
        <w:contextualSpacing w:val="1"/>
        <w:jc w:val="both"/>
        <w:rPr>
          <w:noProof w:val="1"/>
          <w:color w:val="000000"/>
        </w:rPr>
      </w:pPr>
      <w:r>
        <w:rPr>
          <w:noProof w:val="1"/>
          <w:color w:val="000000"/>
        </w:rPr>
        <w:t>Усі документи учасника, довідки, листи від контрагентів учасника, банківських установ, інформація тощо, до яких встановлені вимоги по строку дії або видання зберігають свою чинність у випадку, якщо вони були сформовані/отримані учасником та/або подані у складі тендерної пропозиції до моменту внесення змін до тендерної документації за умови, що їх кінцевий строк дії відповідатиме загальним вимогам тендерної документації зі змінами. Замовником будуть прийняті як належні документи, що були оформлені до цієї дати. Повторно переробляти документи учасникам не потрібно.</w:t>
      </w:r>
    </w:p>
    <w:p>
      <w:pPr>
        <w:pStyle w:val="P2"/>
        <w:widowControl w:val="0"/>
        <w:spacing w:lineRule="auto" w:line="240" w:after="0"/>
        <w:ind w:firstLine="284" w:left="0"/>
        <w:jc w:val="both"/>
        <w:rPr>
          <w:rFonts w:ascii="Times New Roman" w:hAnsi="Times New Roman"/>
          <w:noProof w:val="1"/>
          <w:color w:val="000000"/>
          <w:sz w:val="24"/>
        </w:rPr>
      </w:pPr>
      <w:r>
        <w:rPr>
          <w:rFonts w:ascii="Times New Roman" w:hAnsi="Times New Roman"/>
          <w:noProof w:val="1"/>
          <w:color w:val="000000"/>
          <w:sz w:val="24"/>
        </w:rPr>
        <w:t>Решта вимог залишити без змін.</w:t>
      </w:r>
    </w:p>
    <w:p>
      <w:pPr>
        <w:widowControl w:val="1"/>
        <w:shd w:val="clear" w:fill="FFFFFF"/>
        <w:suppressAutoHyphens w:val="0"/>
        <w:jc w:val="both"/>
        <w:rPr>
          <w:b w:val="0"/>
          <w:color w:val="000000"/>
        </w:rPr>
      </w:pPr>
    </w:p>
    <w:p/>
    <w:p/>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w:abstractNum w:abstractNumId="0">
    <w:nsid w:val="0FE214DB"/>
    <w:multiLevelType w:val="hybridMultilevel"/>
    <w:lvl w:ilvl="0" w:tplc="80A0E76E">
      <w:start w:val="2"/>
      <w:numFmt w:val="bullet"/>
      <w:suff w:val="tab"/>
      <w:lvlText w:val="-"/>
      <w:lvlJc w:val="left"/>
      <w:pPr>
        <w:ind w:hanging="360" w:left="720"/>
      </w:pPr>
      <w:rPr>
        <w:rFonts w:ascii="Times New Roman" w:hAnsi="Times New Roman"/>
      </w:rPr>
    </w:lvl>
    <w:lvl w:ilvl="1" w:tplc="04220003">
      <w:start w:val="1"/>
      <w:numFmt w:val="bullet"/>
      <w:suff w:val="tab"/>
      <w:lvlText w:val="o"/>
      <w:lvlJc w:val="left"/>
      <w:pPr>
        <w:ind w:hanging="360" w:left="1440"/>
      </w:pPr>
      <w:rPr>
        <w:rFonts w:ascii="Courier New" w:hAnsi="Courier New"/>
      </w:rPr>
    </w:lvl>
    <w:lvl w:ilvl="2" w:tplc="04220005">
      <w:start w:val="1"/>
      <w:numFmt w:val="bullet"/>
      <w:suff w:val="tab"/>
      <w:lvlText w:val=""/>
      <w:lvlJc w:val="left"/>
      <w:pPr>
        <w:ind w:hanging="360" w:left="2160"/>
      </w:pPr>
      <w:rPr>
        <w:rFonts w:ascii="Wingdings" w:hAnsi="Wingdings"/>
      </w:rPr>
    </w:lvl>
    <w:lvl w:ilvl="3" w:tplc="04220001">
      <w:start w:val="1"/>
      <w:numFmt w:val="bullet"/>
      <w:suff w:val="tab"/>
      <w:lvlText w:val=""/>
      <w:lvlJc w:val="left"/>
      <w:pPr>
        <w:ind w:hanging="360" w:left="2880"/>
      </w:pPr>
      <w:rPr>
        <w:rFonts w:ascii="Symbol" w:hAnsi="Symbol"/>
      </w:rPr>
    </w:lvl>
    <w:lvl w:ilvl="4" w:tplc="04220003">
      <w:start w:val="1"/>
      <w:numFmt w:val="bullet"/>
      <w:suff w:val="tab"/>
      <w:lvlText w:val="o"/>
      <w:lvlJc w:val="left"/>
      <w:pPr>
        <w:ind w:hanging="360" w:left="3600"/>
      </w:pPr>
      <w:rPr>
        <w:rFonts w:ascii="Courier New" w:hAnsi="Courier New"/>
      </w:rPr>
    </w:lvl>
    <w:lvl w:ilvl="5" w:tplc="04220005">
      <w:start w:val="1"/>
      <w:numFmt w:val="bullet"/>
      <w:suff w:val="tab"/>
      <w:lvlText w:val=""/>
      <w:lvlJc w:val="left"/>
      <w:pPr>
        <w:ind w:hanging="360" w:left="4320"/>
      </w:pPr>
      <w:rPr>
        <w:rFonts w:ascii="Wingdings" w:hAnsi="Wingdings"/>
      </w:rPr>
    </w:lvl>
    <w:lvl w:ilvl="6" w:tplc="04220001">
      <w:start w:val="1"/>
      <w:numFmt w:val="bullet"/>
      <w:suff w:val="tab"/>
      <w:lvlText w:val=""/>
      <w:lvlJc w:val="left"/>
      <w:pPr>
        <w:ind w:hanging="360" w:left="5040"/>
      </w:pPr>
      <w:rPr>
        <w:rFonts w:ascii="Symbol" w:hAnsi="Symbol"/>
      </w:rPr>
    </w:lvl>
    <w:lvl w:ilvl="7" w:tplc="04220003">
      <w:start w:val="1"/>
      <w:numFmt w:val="bullet"/>
      <w:suff w:val="tab"/>
      <w:lvlText w:val="o"/>
      <w:lvlJc w:val="left"/>
      <w:pPr>
        <w:ind w:hanging="360" w:left="5760"/>
      </w:pPr>
      <w:rPr>
        <w:rFonts w:ascii="Courier New" w:hAnsi="Courier New"/>
      </w:rPr>
    </w:lvl>
    <w:lvl w:ilvl="8" w:tplc="04220005">
      <w:start w:val="1"/>
      <w:numFmt w:val="bullet"/>
      <w:suff w:val="tab"/>
      <w:lvlText w:val=""/>
      <w:lvlJc w:val="left"/>
      <w:pPr>
        <w:ind w:hanging="360" w:left="6480"/>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widowControl w:val="0"/>
      <w:suppressAutoHyphens w:val="1"/>
      <w:spacing w:lineRule="auto" w:line="240" w:after="0" w:beforeAutospacing="0" w:afterAutospacing="0"/>
      <w:jc w:val="center"/>
    </w:pPr>
    <w:rPr>
      <w:rFonts w:ascii="Times New Roman" w:hAnsi="Times New Roman"/>
      <w:b w:val="1"/>
      <w:sz w:val="24"/>
    </w:rPr>
  </w:style>
  <w:style w:type="paragraph" w:styleId="P1">
    <w:name w:val="Subtitle"/>
    <w:basedOn w:val="P0"/>
    <w:pPr>
      <w:spacing w:lineRule="auto" w:line="360" w:after="200"/>
      <w:jc w:val="center"/>
    </w:pPr>
    <w:rPr>
      <w:b w:val="1"/>
      <w:noProof w:val="1"/>
    </w:rPr>
  </w:style>
  <w:style w:type="paragraph" w:styleId="P2">
    <w:name w:val="List Paragraph"/>
    <w:basedOn w:val="P0"/>
    <w:pPr>
      <w:spacing w:lineRule="auto" w:line="275" w:after="200"/>
      <w:ind w:left="720"/>
      <w:contextualSpacing w:val="1"/>
    </w:pPr>
    <w:rPr>
      <w:rFonts w:ascii="Calibri" w:hAnsi="Calibri"/>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