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FFDC3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ind w:left="0"/>
        <w:rPr>
          <w:rFonts w:ascii="Times New Roman" w:hAnsi="Times New Roman"/>
          <w:sz w:val="24"/>
        </w:rPr>
      </w:pPr>
    </w:p>
    <w:p>
      <w:pPr>
        <w:pStyle w:val="P3"/>
        <w:ind w:left="0"/>
        <w:rPr>
          <w:rFonts w:ascii="Times New Roman" w:hAnsi="Times New Roman"/>
          <w:sz w:val="24"/>
        </w:rPr>
      </w:pPr>
    </w:p>
    <w:p>
      <w:pPr>
        <w:widowControl w:val="0"/>
        <w:ind w:firstLine="426"/>
        <w:jc w:val="center"/>
        <w:rPr>
          <w:b w:val="1"/>
        </w:rPr>
      </w:pPr>
      <w:r>
        <w:rPr>
          <w:b w:val="1"/>
        </w:rPr>
        <w:t>ПЕРЕЛІК ЗМІН, ЩО ВНОСЯТЬСЯ ДО ТЕНДЕРНОЇ ДОКУМЕНТАЦІЇ</w:t>
      </w:r>
    </w:p>
    <w:p>
      <w:pPr>
        <w:widowControl w:val="0"/>
        <w:ind w:firstLine="426"/>
        <w:jc w:val="center"/>
        <w:rPr>
          <w:b w:val="1"/>
          <w:i w:val="1"/>
        </w:rPr>
      </w:pPr>
    </w:p>
    <w:p>
      <w:pPr>
        <w:widowControl w:val="0"/>
        <w:ind w:firstLine="426"/>
        <w:jc w:val="center"/>
        <w:rPr>
          <w:b w:val="1"/>
        </w:rPr>
      </w:pPr>
      <w:r>
        <w:rPr>
          <w:b w:val="1"/>
        </w:rPr>
        <w:t>по предмету: «Вугілля кам’яне марки ДГ (13-100)»</w:t>
      </w:r>
    </w:p>
    <w:p>
      <w:pPr>
        <w:widowControl w:val="0"/>
        <w:ind w:firstLine="426"/>
        <w:jc w:val="center"/>
        <w:rPr>
          <w:b w:val="1"/>
          <w:sz w:val="20"/>
        </w:rPr>
      </w:pPr>
    </w:p>
    <w:p>
      <w:pPr>
        <w:widowControl w:val="0"/>
        <w:ind w:firstLine="426"/>
        <w:jc w:val="both"/>
        <w:rPr>
          <w:i w:val="1"/>
        </w:rPr>
      </w:pPr>
      <w:r>
        <w:rPr>
          <w:b w:val="1"/>
        </w:rPr>
        <w:t xml:space="preserve">Згідно п. 54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скасування»: </w:t>
      </w:r>
      <w:r>
        <w:rPr>
          <w:i w:val="1"/>
        </w:rPr>
        <w:t xml:space="preserve">«Замовник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 </w:t>
      </w:r>
    </w:p>
    <w:p>
      <w:pPr>
        <w:widowControl w:val="0"/>
        <w:ind w:firstLine="426"/>
        <w:jc w:val="both"/>
        <w:rPr>
          <w:i w:val="1"/>
        </w:rPr>
      </w:pPr>
      <w:r>
        <w:rPr>
          <w:i w:val="1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внесення..».</w:t>
      </w:r>
    </w:p>
    <w:p>
      <w:pPr>
        <w:pStyle w:val="P2"/>
        <w:spacing w:lineRule="auto" w:line="240" w:beforeAutospacing="0" w:afterAutospacing="0"/>
        <w:ind w:firstLine="426"/>
        <w:jc w:val="both"/>
        <w:rPr>
          <w:b w:val="0"/>
        </w:rPr>
      </w:pPr>
      <w:r>
        <w:t>Уповноваженою особою прийнято рішення внести зміни до тендерної документації, оскільки виникла потреба деталізуати окремі вимоги до учасників закупівлі з метою встановлення їх відповідності до виконання предмету закупівлі:</w:t>
      </w:r>
    </w:p>
    <w:p>
      <w:pPr>
        <w:ind w:firstLine="284"/>
        <w:jc w:val="both"/>
        <w:rPr>
          <w:b w:val="1"/>
        </w:rPr>
      </w:pPr>
      <w:r>
        <w:rPr>
          <w:b w:val="1"/>
        </w:rPr>
        <w:t>Перелік змін до тендерної документації в частині відображення інформації про:</w:t>
      </w:r>
    </w:p>
    <w:tbl>
      <w:tblPr>
        <w:tblW w:w="9836" w:type="dxa"/>
        <w:tblCellSpacing w:w="15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/>
      <w:tr>
        <w:trPr>
          <w:tblCellSpacing w:w="15" w:type="dxa"/>
        </w:trPr>
        <w:tc>
          <w:tcPr>
            <w:tcW w:w="1711" w:type="dxa"/>
            <w:vAlign w:val="center"/>
            <w:hideMark/>
          </w:tcPr>
          <w:p>
            <w:r>
              <w:rPr>
                <w:b w:val="1"/>
              </w:rPr>
              <w:t>Посилання</w:t>
            </w:r>
          </w:p>
        </w:tc>
        <w:tc>
          <w:tcPr>
            <w:tcW w:w="4081" w:type="dxa"/>
            <w:vAlign w:val="center"/>
            <w:hideMark/>
          </w:tcPr>
          <w:p>
            <w:r>
              <w:rPr>
                <w:b w:val="1"/>
              </w:rPr>
              <w:t>Стара редакція тендерної документації</w:t>
            </w:r>
          </w:p>
        </w:tc>
        <w:tc>
          <w:tcPr>
            <w:tcW w:w="3924" w:type="dxa"/>
            <w:vAlign w:val="center"/>
            <w:hideMark/>
          </w:tcPr>
          <w:p>
            <w:r>
              <w:rPr>
                <w:b w:val="1"/>
              </w:rPr>
              <w:t>Нова редакція тендерної документації</w:t>
            </w:r>
          </w:p>
        </w:tc>
      </w:tr>
      <w:tr>
        <w:trPr>
          <w:tblCellSpacing w:w="15" w:type="dxa"/>
        </w:trPr>
        <w:tc>
          <w:tcPr>
            <w:tcW w:w="1711" w:type="dxa"/>
            <w:vAlign w:val="center"/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ч.2 пп. 12 п.1 розділу 3 Тендерної документації</w:t>
            </w:r>
          </w:p>
        </w:tc>
        <w:tc>
          <w:tcPr>
            <w:tcW w:w="4081" w:type="dxa"/>
            <w:vAlign w:val="center"/>
            <w:hideMark/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процедури закупівлі подають тендерні пропозиції у формі електронного документа чи скан-копій через електронну систему закупівель. Тендерна пропозиція учасника має відповідати ряду вимог: 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 документи мають бути чіткими та розбірливими для читання;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тендерна пропозиція учасника повинна бути підписана  кваліфікованим електронним підписом (КЕП);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 якщо тендерна пропозиція містить і скановані, і електронні документи, потрібно накласти КЕП на тендерну пропозицію в цілому та на кожен електронний документ окремо.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Винятки: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 якщо електронні документи тендерної пропозиції видано іншою організацією і на них уже накладено КЕП цієї організації, учаснику не потрібно накладати на нього свій КЕП.</w:t>
            </w:r>
          </w:p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Зверніть увагу: документи тендерної пропозиції, які надані не у формі електронного документа (без КЕП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 </w:t>
            </w:r>
          </w:p>
          <w:p>
            <w:pPr>
              <w:widowControl w:val="0"/>
              <w:ind w:hanging="20" w:left="40"/>
              <w:jc w:val="both"/>
            </w:pPr>
            <w:r>
              <w:rPr>
                <w:color w:val="000000"/>
              </w:rPr>
              <w:t xml:space="preserve">Замовник не вимагає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</w:t>
            </w:r>
            <w:r>
              <w:t xml:space="preserve">із накладанням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послуги». </w:t>
            </w:r>
          </w:p>
          <w:p>
            <w:pPr>
              <w:widowControl w:val="0"/>
              <w:ind w:hanging="20" w:left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Замовник перевіряє КЕП учасника на сайті центрального засвідчувального органу за посиланням https://czo.gov.ua/verify. Під час перевірки КЕП повинні відображатися: прізвище та ініціали особи, уповноваженої на підписання тендерної пропозиції (власника ключа). </w:t>
            </w:r>
          </w:p>
          <w:p>
            <w:pPr>
              <w:widowControl w:val="0"/>
              <w:jc w:val="both"/>
              <w:rPr>
                <w:sz w:val="20"/>
              </w:rPr>
            </w:pPr>
            <w:r>
              <w:rPr>
                <w:color w:val="000000"/>
              </w:rPr>
              <w:t xml:space="preserve">У </w:t>
            </w:r>
            <w:r>
              <w:t>разі</w:t>
            </w:r>
            <w:r>
              <w:rPr>
                <w:color w:val="000000"/>
              </w:rPr>
              <w:t xml:space="preserve"> відсутності даної інформації або у </w:t>
            </w:r>
            <w:r>
              <w:t>разі</w:t>
            </w:r>
            <w:r>
              <w:rPr>
                <w:color w:val="000000"/>
              </w:rPr>
              <w:t xml:space="preserve"> ненакладення учасником КЕП </w:t>
            </w:r>
            <w:r>
              <w:t xml:space="preserve">відповідно до умов тендерної документації, така тендерна пропозиція учасника вважається як така, що не відповідає вимогам, установленим у тендерній документації відповідно до абзацу першого частини третьої статті 22 </w:t>
            </w:r>
            <w:r>
              <w:rPr>
                <w:i w:val="1"/>
              </w:rPr>
              <w:t>Закону</w:t>
            </w:r>
            <w:r>
              <w:t xml:space="preserve"> та буде відхилена</w:t>
            </w:r>
            <w:r>
              <w:rPr>
                <w:i w:val="1"/>
              </w:rPr>
              <w:t>.</w:t>
            </w:r>
          </w:p>
        </w:tc>
        <w:tc>
          <w:tcPr>
            <w:tcW w:w="3924" w:type="dxa"/>
            <w:vAlign w:val="center"/>
            <w:hideMark/>
          </w:tcPr>
          <w:p>
            <w:pPr>
              <w:widowControl w:val="0"/>
              <w:spacing w:after="16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bookmarkStart w:id="0" w:name="_heading=h.3znysh7"/>
            <w:bookmarkEnd w:id="0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процедури закупівлі подають тендерні пропозиції у формі електронного документа чи скан-копій через електронну систему закупівель. Тендерна пропозиція учасника має відповідати ряду вимог: </w:t>
            </w:r>
          </w:p>
          <w:p>
            <w:pPr>
              <w:widowControl w:val="0"/>
              <w:spacing w:after="16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1) документи мають бути чіткими та розбірливими для читання;</w:t>
            </w:r>
          </w:p>
          <w:p>
            <w:pPr>
              <w:spacing w:after="16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2) тендерна пропозиція учасника повинна бути підписана  кваліфікованим електронним підписом (КЕП/удосконаленим електронним підпи</w:t>
            </w:r>
            <w:r>
              <w:rPr>
                <w:rFonts w:ascii="Times New Roman" w:hAnsi="Times New Roman"/>
                <w:b w:val="0"/>
                <w:sz w:val="24"/>
              </w:rPr>
              <w:t>сом (УЕП)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);</w:t>
            </w:r>
          </w:p>
          <w:p>
            <w:pPr>
              <w:spacing w:after="16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3) якщо тендерна пропозиція містить і скановані, і електронні документи, потрібно накласти КЕП на тендерну пропозицію в цілому та на кожен електронний документ окремо.</w:t>
            </w:r>
          </w:p>
          <w:p>
            <w:pPr>
              <w:spacing w:after="16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Винятки:</w:t>
            </w:r>
          </w:p>
          <w:p>
            <w:pPr>
              <w:spacing w:after="16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1) якщо електронні документи тендерної пропозиції видано іншою організацією і на них уже накладено КЕП/удосконаленим електронним підпи</w:t>
            </w:r>
            <w:r>
              <w:rPr>
                <w:rFonts w:ascii="Times New Roman" w:hAnsi="Times New Roman"/>
                <w:b w:val="0"/>
                <w:sz w:val="24"/>
              </w:rPr>
              <w:t>сом (УЕП)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цієї організації, учаснику не потрібно накладати на нього свій КЕП/удосконаленим електронним підпи</w:t>
            </w:r>
            <w:r>
              <w:rPr>
                <w:rFonts w:ascii="Times New Roman" w:hAnsi="Times New Roman"/>
                <w:b w:val="0"/>
                <w:sz w:val="24"/>
              </w:rPr>
              <w:t>сом (УЕП)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.</w:t>
            </w:r>
          </w:p>
          <w:p>
            <w:pPr>
              <w:widowControl w:val="0"/>
              <w:spacing w:after="16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Зверніть увагу: документи тендерної пропозиції, які надані не у формі електронного документа (без КЕП/удосконаленим електронним підпи</w:t>
            </w:r>
            <w:r>
              <w:rPr>
                <w:rFonts w:ascii="Times New Roman" w:hAnsi="Times New Roman"/>
                <w:b w:val="0"/>
                <w:sz w:val="24"/>
              </w:rPr>
              <w:t>сом (УЕП)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 </w:t>
            </w:r>
          </w:p>
          <w:p>
            <w:pPr>
              <w:widowControl w:val="0"/>
              <w:spacing w:after="160"/>
              <w:ind w:hanging="20" w:left="4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Замовник не вимагає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</w:t>
            </w:r>
            <w:r>
              <w:rPr>
                <w:rFonts w:ascii="Times New Roman" w:hAnsi="Times New Roman"/>
                <w:b w:val="0"/>
                <w:sz w:val="24"/>
              </w:rPr>
              <w:t xml:space="preserve">із накладанням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послуги». </w:t>
            </w:r>
          </w:p>
          <w:p>
            <w:pPr>
              <w:widowControl w:val="0"/>
              <w:spacing w:after="160"/>
              <w:ind w:hanging="20" w:left="4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Замовник перевіряє КЕП/удосконаленим електронним підпи</w:t>
            </w:r>
            <w:r>
              <w:rPr>
                <w:rFonts w:ascii="Times New Roman" w:hAnsi="Times New Roman"/>
                <w:b w:val="0"/>
                <w:sz w:val="24"/>
              </w:rPr>
              <w:t>сом (УЕП)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учасника на сайті центрального засвідчувального органу за посиланням https://czo.gov.ua/verify. Під час перевірки КЕП повинні відображатися: прізвище та ініціали особи, уповноваженої на підписання тендерної пропозиції (власника ключа). </w:t>
            </w:r>
          </w:p>
          <w:p>
            <w:pPr>
              <w:widowControl w:val="0"/>
              <w:spacing w:after="160"/>
              <w:ind w:hanging="20" w:left="40"/>
              <w:jc w:val="both"/>
              <w:rPr>
                <w:rFonts w:ascii="Times New Roman" w:hAnsi="Times New Roman"/>
                <w:b w:val="0"/>
                <w:i w:val="1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У </w:t>
            </w:r>
            <w:r>
              <w:rPr>
                <w:rFonts w:ascii="Times New Roman" w:hAnsi="Times New Roman"/>
                <w:b w:val="0"/>
                <w:sz w:val="24"/>
              </w:rPr>
              <w:t>разі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відсутності даної інформації або у </w:t>
            </w:r>
            <w:r>
              <w:rPr>
                <w:rFonts w:ascii="Times New Roman" w:hAnsi="Times New Roman"/>
                <w:b w:val="0"/>
                <w:sz w:val="24"/>
              </w:rPr>
              <w:t>разі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ненакладення учасником КЕП/удосконаленим електронним підпи</w:t>
            </w:r>
            <w:r>
              <w:rPr>
                <w:rFonts w:ascii="Times New Roman" w:hAnsi="Times New Roman"/>
                <w:b w:val="0"/>
                <w:sz w:val="24"/>
              </w:rPr>
              <w:t>сом (УЕП)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 xml:space="preserve">відповідно до умов тендерної документації, така тендерна пропозиція учасника вважається як така, що не відповідає вимогам, установленим у тендерній документації відповідно до абзацу першого частини третьої статті 22 </w:t>
            </w:r>
            <w:r>
              <w:rPr>
                <w:rFonts w:ascii="Times New Roman" w:hAnsi="Times New Roman"/>
                <w:b w:val="0"/>
                <w:i w:val="1"/>
                <w:sz w:val="24"/>
              </w:rPr>
              <w:t>Закону</w:t>
            </w:r>
            <w:r>
              <w:rPr>
                <w:rFonts w:ascii="Times New Roman" w:hAnsi="Times New Roman"/>
                <w:b w:val="0"/>
                <w:sz w:val="24"/>
              </w:rPr>
              <w:t xml:space="preserve"> та буде відхилена</w:t>
            </w:r>
          </w:p>
          <w:p>
            <w:pPr>
              <w:widowControl w:val="0"/>
              <w:spacing w:after="160"/>
              <w:jc w:val="both"/>
              <w:rPr>
                <w:rFonts w:ascii="Times New Roman" w:hAnsi="Times New Roman"/>
                <w:b w:val="0"/>
                <w:sz w:val="24"/>
              </w:rPr>
            </w:pPr>
            <w:bookmarkStart w:id="1" w:name="_heading=h.hjqm8skarbdr"/>
            <w:bookmarkEnd w:id="1"/>
            <w:bookmarkStart w:id="2" w:name="_heading=h.2et92p0"/>
            <w:bookmarkEnd w:id="2"/>
            <w:r>
              <w:rPr>
                <w:rFonts w:ascii="Times New Roman" w:hAnsi="Times New Roman"/>
                <w:b w:val="0"/>
                <w:sz w:val="24"/>
              </w:rPr>
              <w:t xml:space="preserve">Тендерні пропозиції мають право подавати всі заінтересовані особи. </w:t>
            </w:r>
          </w:p>
          <w:p>
            <w:pPr>
              <w:widowControl w:val="0"/>
              <w:spacing w:after="16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bookmarkStart w:id="3" w:name="_heading=h.ftj7vaqoric"/>
            <w:bookmarkEnd w:id="3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Кожен учасник процедури закупівлі має право подати тільки одну тендерну пропозицію. </w:t>
            </w:r>
          </w:p>
          <w:p>
            <w:pPr>
              <w:widowControl w:val="0"/>
              <w:ind w:hanging="20" w:left="40"/>
              <w:jc w:val="both"/>
              <w:rPr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0"/>
                <w:i w:val="1"/>
                <w:color w:val="000000"/>
                <w:sz w:val="24"/>
                <w:shd w:val="clear" w:fill="FFFFFF"/>
              </w:rPr>
              <w:t xml:space="preserve">У випадку подання учасником більше однієї тендерної пропозиції, </w:t>
            </w:r>
            <w:r>
              <w:rPr>
                <w:rFonts w:ascii="Times New Roman" w:hAnsi="Times New Roman"/>
                <w:b w:val="0"/>
                <w:i w:val="1"/>
                <w:sz w:val="24"/>
                <w:shd w:val="clear" w:fill="FFFFFF"/>
              </w:rPr>
              <w:t>такі тендерні пропозиції учасника вважаються як такі, що не відповідають вимогам, установленим у тендерній документації відповідно до абзацу першого частини третьої статті 22 Закону.</w:t>
            </w:r>
          </w:p>
        </w:tc>
      </w:tr>
    </w:tbl>
    <w:p>
      <w:pPr>
        <w:pStyle w:val="P2"/>
        <w:spacing w:lineRule="auto" w:line="240" w:beforeAutospacing="0" w:afterAutospacing="0"/>
        <w:ind w:firstLine="426"/>
        <w:jc w:val="both"/>
        <w:rPr>
          <w:color w:val="000000"/>
          <w:shd w:val="clear" w:fill="FFFF00"/>
        </w:rPr>
      </w:pPr>
    </w:p>
    <w:p>
      <w:pPr>
        <w:pStyle w:val="P2"/>
        <w:spacing w:lineRule="auto" w:line="240" w:beforeAutospacing="0" w:afterAutospacing="0"/>
        <w:ind w:firstLine="426"/>
        <w:jc w:val="both"/>
        <w:rPr>
          <w:color w:val="000000"/>
          <w:shd w:val="clear" w:fill="FFFF00"/>
        </w:rPr>
      </w:pPr>
    </w:p>
    <w:p/>
    <w:sectPr>
      <w:type w:val="nextPage"/>
      <w:pgSz w:w="11906" w:h="16838" w:code="9"/>
      <w:pgMar w:left="1417" w:right="850" w:top="426" w:bottom="709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FE214DB"/>
    <w:multiLevelType w:val="hybridMultilevel"/>
    <w:lvl w:ilvl="0" w:tplc="80A0E76E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22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  <w:jc w:val="left"/>
    </w:pPr>
    <w:rPr>
      <w:rFonts w:ascii="Times New Roman" w:hAnsi="Times New Roman"/>
      <w:sz w:val="24"/>
    </w:rPr>
  </w:style>
  <w:style w:type="paragraph" w:styleId="P1">
    <w:name w:val="List Paragraph"/>
    <w:basedOn w:val="P0"/>
    <w:qFormat/>
    <w:pPr>
      <w:spacing w:lineRule="auto" w:line="276" w:after="200" w:beforeAutospacing="0" w:afterAutospacing="0"/>
      <w:ind w:left="720"/>
      <w:contextualSpacing w:val="1"/>
    </w:pPr>
    <w:rPr>
      <w:rFonts w:ascii="Calibri" w:hAnsi="Calibri"/>
      <w:sz w:val="22"/>
    </w:rPr>
  </w:style>
  <w:style w:type="paragraph" w:styleId="P2">
    <w:name w:val="Subtitle"/>
    <w:basedOn w:val="P0"/>
    <w:link w:val="C3"/>
    <w:qFormat/>
    <w:pPr>
      <w:spacing w:lineRule="auto" w:line="360" w:beforeAutospacing="0" w:afterAutospacing="0"/>
      <w:jc w:val="center"/>
    </w:pPr>
    <w:rPr>
      <w:b w:val="1"/>
      <w:noProof w:val="1"/>
    </w:rPr>
  </w:style>
  <w:style w:type="paragraph" w:styleId="P3">
    <w:name w:val="Title"/>
    <w:basedOn w:val="P0"/>
    <w:link w:val="C4"/>
    <w:qFormat/>
    <w:pPr>
      <w:widowControl w:val="0"/>
      <w:ind w:left="320"/>
      <w:jc w:val="center"/>
    </w:pPr>
    <w:rPr>
      <w:rFonts w:ascii="Arial" w:hAnsi="Arial"/>
      <w:b w:val="1"/>
      <w:sz w:val="18"/>
    </w:rPr>
  </w:style>
  <w:style w:type="paragraph" w:styleId="P4">
    <w:name w:val="Standard (user)"/>
    <w:pPr>
      <w:suppressAutoHyphens w:val="1"/>
      <w:spacing w:lineRule="auto" w:line="240" w:after="0" w:beforeAutospacing="0" w:afterAutospacing="0"/>
    </w:pPr>
    <w:rPr>
      <w:rFonts w:ascii="Liberation Serif" w:hAnsi="Liberation Serif"/>
      <w:sz w:val="24"/>
    </w:rPr>
  </w:style>
  <w:style w:type="paragraph" w:styleId="P5">
    <w:name w:val="Table Paragraph"/>
    <w:basedOn w:val="P0"/>
    <w:qFormat/>
    <w:pPr>
      <w:widowControl w:val="0"/>
      <w:suppressAutoHyphens w:val="1"/>
      <w:ind w:left="4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Подзаголовок Знак"/>
    <w:basedOn w:val="C0"/>
    <w:link w:val="P2"/>
    <w:rPr>
      <w:b w:val="1"/>
      <w:noProof w:val="1"/>
    </w:rPr>
  </w:style>
  <w:style w:type="character" w:styleId="C4">
    <w:name w:val="Название Знак"/>
    <w:basedOn w:val="C0"/>
    <w:link w:val="P3"/>
    <w:rPr>
      <w:rFonts w:ascii="Arial" w:hAnsi="Arial"/>
      <w:b w:val="1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