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r w:rsidR="00B33276">
        <w:rPr>
          <w:rFonts w:ascii="Times New Roman" w:eastAsia="Calibri" w:hAnsi="Times New Roman" w:cs="Times New Roman"/>
          <w:b/>
          <w:color w:val="000000"/>
          <w:lang w:val="uk-UA" w:eastAsia="ru-RU"/>
        </w:rPr>
        <w:t>б</w:t>
      </w:r>
      <w:r w:rsidR="00B33276" w:rsidRPr="00B33276">
        <w:rPr>
          <w:rFonts w:ascii="Times New Roman" w:eastAsia="Calibri" w:hAnsi="Times New Roman" w:cs="Times New Roman"/>
          <w:b/>
          <w:color w:val="000000"/>
          <w:lang w:val="uk-UA" w:eastAsia="ru-RU"/>
        </w:rPr>
        <w:t>уряк столовий першого товарного сорту, 5-10 см, ДСТУ 7033, 1 кг</w:t>
      </w:r>
      <w:r w:rsidR="0053496F" w:rsidRPr="0053496F">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B33276" w:rsidRPr="00B33276">
        <w:rPr>
          <w:rFonts w:ascii="Times New Roman" w:eastAsia="Calibri" w:hAnsi="Times New Roman" w:cs="Times New Roman"/>
          <w:b/>
          <w:color w:val="000000"/>
          <w:lang w:val="uk-UA" w:eastAsia="ru-RU"/>
        </w:rPr>
        <w:t>Буряк столовий першого товарного сорту, 5-10 см, ДСТУ 7033, 1 кг</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r w:rsidR="00B33276" w:rsidRPr="00B33276">
        <w:rPr>
          <w:rFonts w:ascii="Times New Roman" w:eastAsia="Calibri" w:hAnsi="Times New Roman" w:cs="Times New Roman"/>
          <w:b/>
          <w:color w:val="000000"/>
          <w:lang w:val="uk-UA" w:eastAsia="ru-RU"/>
        </w:rPr>
        <w:t>03220000-9 - Овочі, фрукти та горіхи</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bookmarkStart w:id="0" w:name="_GoBack"/>
      <w:bookmarkEnd w:id="0"/>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CB5E8A">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53496F">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B33276"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161C3"/>
    <w:rsid w:val="00121263"/>
    <w:rsid w:val="00304891"/>
    <w:rsid w:val="00332DBB"/>
    <w:rsid w:val="003562AB"/>
    <w:rsid w:val="00442590"/>
    <w:rsid w:val="0053496F"/>
    <w:rsid w:val="00745111"/>
    <w:rsid w:val="00753F72"/>
    <w:rsid w:val="00A27F86"/>
    <w:rsid w:val="00AA372B"/>
    <w:rsid w:val="00B33276"/>
    <w:rsid w:val="00BE3C55"/>
    <w:rsid w:val="00C47AB9"/>
    <w:rsid w:val="00CB5E8A"/>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1C66"/>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3374</Words>
  <Characters>19235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2022-12-16T10:36:00Z</dcterms:created>
  <dcterms:modified xsi:type="dcterms:W3CDTF">2024-03-26T13:31:00Z</dcterms:modified>
</cp:coreProperties>
</file>