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D9" w:rsidRPr="000965A6" w:rsidRDefault="006464D9" w:rsidP="006464D9">
      <w:pPr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965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3</w:t>
      </w:r>
    </w:p>
    <w:p w:rsidR="006464D9" w:rsidRPr="000965A6" w:rsidRDefault="006464D9" w:rsidP="006464D9">
      <w:pPr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965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CD4426" w:rsidRPr="000965A6" w:rsidRDefault="004030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5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:rsidR="000965A6" w:rsidRDefault="000965A6" w:rsidP="000965A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096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A81522" w:rsidRPr="00F4693E" w:rsidRDefault="00A81522" w:rsidP="00A81522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A81522" w:rsidRPr="00F4693E" w:rsidRDefault="00A81522" w:rsidP="00A81522">
      <w:pPr>
        <w:shd w:val="clear" w:color="auto" w:fill="FFFFFF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9705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4"/>
        <w:gridCol w:w="1691"/>
        <w:gridCol w:w="7550"/>
      </w:tblGrid>
      <w:tr w:rsidR="00A81522" w:rsidRPr="00753810" w:rsidTr="00806220">
        <w:trPr>
          <w:trHeight w:val="690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522" w:rsidRPr="00F4693E" w:rsidRDefault="00A81522" w:rsidP="008062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522" w:rsidRPr="00F4693E" w:rsidRDefault="00A81522" w:rsidP="008062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522" w:rsidRPr="00F4693E" w:rsidRDefault="00A81522" w:rsidP="008062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A81522" w:rsidRPr="00F4693E" w:rsidTr="00806220">
        <w:trPr>
          <w:trHeight w:val="448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Pr="00F4693E" w:rsidRDefault="00A81522" w:rsidP="0080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Pr="00F4693E" w:rsidRDefault="00A81522" w:rsidP="00806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1.1.1.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Аналогічним договором відповідно до умов цієї тендерної документації є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відповідний </w:t>
            </w: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договір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усіма змінами та додатками,</w:t>
            </w: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який підтверджує наявність у учасника досвіду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постачання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лікарських засобів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національного класифікатора ДК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021:2015</w:t>
            </w: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</w:t>
            </w:r>
            <w:r w:rsidRPr="00E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зазначено в даній тендерній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відповідний акт (акти) наданих послуг/виконаних робіт (видаткова накладна), що свідчить (свідчать) про виконання договору без зазначення даних, що можуть містити в собі ознаки порушення норм Закону України «Про захист персональних даних».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1.1.2.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менше 1 копії договору, зазначеного в довідці в повному обсязі,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1.1.3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A81522" w:rsidRPr="00F4693E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81522" w:rsidRPr="00F4693E" w:rsidRDefault="00A81522" w:rsidP="00A8152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81522" w:rsidRPr="00F4693E" w:rsidRDefault="00A81522" w:rsidP="00A8152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81522" w:rsidRDefault="00A81522" w:rsidP="00A8152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A81522" w:rsidRPr="00F4693E" w:rsidRDefault="00A81522" w:rsidP="00A8152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1522" w:rsidRPr="00F4693E" w:rsidRDefault="00A81522" w:rsidP="00A815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</w:t>
      </w:r>
      <w:r>
        <w:rPr>
          <w:rFonts w:ascii="Times New Roman" w:hAnsi="Times New Roman" w:cs="Times New Roman"/>
          <w:sz w:val="20"/>
          <w:szCs w:val="20"/>
          <w:lang w:val="uk-UA"/>
        </w:rPr>
        <w:t>ачених у пункті 47 Особливостей</w:t>
      </w:r>
      <w:r w:rsidRPr="00F4693E">
        <w:rPr>
          <w:rFonts w:ascii="Times New Roman" w:hAnsi="Times New Roman" w:cs="Times New Roman"/>
          <w:sz w:val="20"/>
          <w:szCs w:val="20"/>
          <w:lang w:val="uk-UA"/>
        </w:rPr>
        <w:t>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A81522" w:rsidRPr="00F4693E" w:rsidRDefault="00A81522" w:rsidP="00A815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693E">
        <w:rPr>
          <w:rFonts w:ascii="Times New Roman" w:hAnsi="Times New Roman" w:cs="Times New Roman"/>
          <w:sz w:val="20"/>
          <w:szCs w:val="20"/>
          <w:lang w:val="uk-UA"/>
        </w:rPr>
        <w:t>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81522" w:rsidRPr="00F4693E" w:rsidRDefault="00A81522" w:rsidP="00A8152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A81522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Учасник 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>процедури закупівлі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 xml:space="preserve">не виконав свої зобов’язання за раніше укладеним договором про закупівлю з тим самим замовником, що призвело до його дострокового розірвання і застосування санкцій у вигляді штрафів та/або відшкодування збитків протягом трьох років з дати дострокового розірвання такого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договору, 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>може надати підтвердження вжиття заходів для доведення своєї надійності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53F49">
        <w:rPr>
          <w:rFonts w:ascii="Times New Roman" w:hAnsi="Times New Roman" w:cs="Times New Roman"/>
          <w:sz w:val="20"/>
          <w:szCs w:val="20"/>
          <w:lang w:val="uk-UA"/>
        </w:rPr>
        <w:t xml:space="preserve">Для цього учасник процедури закупівлі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:rsidR="00A81522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 xml:space="preserve"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</w:t>
      </w: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A81522" w:rsidRPr="00F4693E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sz w:val="20"/>
          <w:szCs w:val="20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F4693E">
        <w:rPr>
          <w:rFonts w:ascii="Times New Roman" w:hAnsi="Times New Roman" w:cs="Times New Roman"/>
          <w:i/>
          <w:sz w:val="20"/>
          <w:szCs w:val="20"/>
          <w:lang w:val="uk-UA"/>
        </w:rPr>
        <w:t>(у разі застосування таких критеріїв до учасника процедури закупівлі)</w:t>
      </w:r>
      <w:r w:rsidRPr="00F4693E">
        <w:rPr>
          <w:rFonts w:ascii="Times New Roman" w:hAnsi="Times New Roman" w:cs="Times New Roman"/>
          <w:sz w:val="20"/>
          <w:szCs w:val="20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A81522" w:rsidRPr="00F4693E" w:rsidRDefault="00A81522" w:rsidP="00A81522">
      <w:pPr>
        <w:spacing w:after="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1522" w:rsidRDefault="00A81522" w:rsidP="00A815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387B16">
        <w:rPr>
          <w:rFonts w:ascii="Times New Roman" w:hAnsi="Times New Roman" w:cs="Times New Roman"/>
          <w:b/>
          <w:sz w:val="20"/>
          <w:szCs w:val="20"/>
          <w:lang w:val="uk-UA"/>
        </w:rPr>
        <w:t>47</w:t>
      </w:r>
      <w:r w:rsidRPr="00F4693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Особливостей:</w:t>
      </w:r>
    </w:p>
    <w:p w:rsidR="00A81522" w:rsidRPr="00F4693E" w:rsidRDefault="00A81522" w:rsidP="00A815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1522" w:rsidRDefault="00A81522" w:rsidP="00A815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52BD0">
        <w:rPr>
          <w:rFonts w:ascii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</w:t>
      </w:r>
      <w:r w:rsidRPr="00C52BD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не перевищує чотири дні </w:t>
      </w:r>
      <w:r w:rsidRPr="00C52BD0">
        <w:rPr>
          <w:rFonts w:ascii="Times New Roman" w:hAnsi="Times New Roman" w:cs="Times New Roman"/>
          <w:sz w:val="20"/>
          <w:szCs w:val="20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A81522" w:rsidRPr="008E2559" w:rsidRDefault="00A81522" w:rsidP="00A81522">
      <w:pPr>
        <w:widowControl w:val="0"/>
        <w:spacing w:after="0" w:line="240" w:lineRule="auto"/>
        <w:ind w:firstLine="567"/>
        <w:jc w:val="both"/>
        <w:rPr>
          <w:lang w:val="uk-UA"/>
        </w:rPr>
      </w:pPr>
    </w:p>
    <w:p w:rsidR="00A81522" w:rsidRDefault="00A81522" w:rsidP="00A81522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81522" w:rsidRDefault="00A81522" w:rsidP="00A81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1522" w:rsidRDefault="00A81522" w:rsidP="00A8152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C52BD0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.1. Документи, які надаються  ПЕРЕМОЖЦЕМ (юридичною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</w:p>
    <w:p w:rsidR="00A81522" w:rsidRPr="00387B16" w:rsidRDefault="00A81522" w:rsidP="00A81522">
      <w:pPr>
        <w:spacing w:after="0" w:line="240" w:lineRule="auto"/>
        <w:rPr>
          <w:lang w:val="uk-UA"/>
        </w:rPr>
      </w:pPr>
    </w:p>
    <w:tbl>
      <w:tblPr>
        <w:tblW w:w="9618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60"/>
        <w:gridCol w:w="4050"/>
        <w:gridCol w:w="4808"/>
      </w:tblGrid>
      <w:tr w:rsidR="00A81522" w:rsidTr="00806220">
        <w:trPr>
          <w:trHeight w:val="100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Вимоги згідно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A81522" w:rsidRDefault="00A81522" w:rsidP="0080622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81522" w:rsidTr="00806220">
        <w:trPr>
          <w:trHeight w:val="172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76" w:lineRule="auto"/>
              <w:ind w:right="14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A81522" w:rsidRDefault="00A81522" w:rsidP="00806220">
            <w:pPr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A81522" w:rsidRPr="00815E69" w:rsidRDefault="00A81522" w:rsidP="00806220">
            <w:pPr>
              <w:spacing w:after="0" w:line="252" w:lineRule="auto"/>
              <w:ind w:right="140"/>
              <w:jc w:val="both"/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абзацу 15 пункту 47 Особливостей, надається переможцем торгів.</w:t>
            </w:r>
          </w:p>
        </w:tc>
      </w:tr>
      <w:tr w:rsidR="00A81522" w:rsidTr="00806220">
        <w:trPr>
          <w:trHeight w:val="215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81522" w:rsidRDefault="00A81522" w:rsidP="00806220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ідпункт 6 пункт 47 Особливостей)</w:t>
            </w:r>
          </w:p>
        </w:tc>
        <w:tc>
          <w:tcPr>
            <w:tcW w:w="4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A81522" w:rsidRPr="00A53ED8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виданий/ сформований/ отриманий в поточному році. </w:t>
            </w:r>
          </w:p>
        </w:tc>
      </w:tr>
      <w:tr w:rsidR="00A81522" w:rsidTr="00806220">
        <w:trPr>
          <w:trHeight w:val="21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8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1522" w:rsidRDefault="00A81522" w:rsidP="00A8152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81522" w:rsidRDefault="00A81522" w:rsidP="00A8152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.2. Документи, які надаються ПЕРЕМОЖЦЕМ (фізичною особою чи фізичною особою</w:t>
      </w:r>
      <w:r>
        <w:rPr>
          <w:rFonts w:ascii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>ідприємцем):</w:t>
      </w:r>
    </w:p>
    <w:p w:rsidR="00A81522" w:rsidRPr="00387B16" w:rsidRDefault="00A81522" w:rsidP="00A81522">
      <w:pPr>
        <w:spacing w:before="240" w:after="0" w:line="240" w:lineRule="auto"/>
        <w:jc w:val="center"/>
        <w:rPr>
          <w:lang w:val="uk-UA"/>
        </w:rPr>
      </w:pP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81"/>
        <w:gridCol w:w="4427"/>
        <w:gridCol w:w="4611"/>
      </w:tblGrid>
      <w:tr w:rsidR="00A81522" w:rsidTr="00806220">
        <w:trPr>
          <w:trHeight w:val="82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Pr="008E2559" w:rsidRDefault="00A81522" w:rsidP="00806220">
            <w:pPr>
              <w:spacing w:after="0" w:line="240" w:lineRule="auto"/>
              <w:ind w:left="10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згідно </w:t>
            </w:r>
            <w:r w:rsidRPr="008E2559">
              <w:rPr>
                <w:rFonts w:ascii="Times New Roman" w:hAnsi="Times New Roman" w:cs="Times New Roman"/>
                <w:sz w:val="20"/>
                <w:szCs w:val="20"/>
              </w:rPr>
              <w:t>пункту 47</w:t>
            </w:r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A81522" w:rsidRDefault="00A81522" w:rsidP="0080622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згідно </w:t>
            </w:r>
            <w:r w:rsidRPr="008E2559">
              <w:rPr>
                <w:rFonts w:ascii="Times New Roman" w:hAnsi="Times New Roman" w:cs="Times New Roman"/>
                <w:sz w:val="20"/>
                <w:szCs w:val="20"/>
              </w:rPr>
              <w:t>пункту 47</w:t>
            </w:r>
            <w:r w:rsidRPr="008E2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81522" w:rsidTr="00806220">
        <w:trPr>
          <w:trHeight w:val="172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76" w:lineRule="auto"/>
              <w:ind w:right="14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A81522" w:rsidRDefault="00A81522" w:rsidP="00806220">
            <w:pPr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A81522" w:rsidRPr="00815E69" w:rsidRDefault="00A81522" w:rsidP="00806220">
            <w:pPr>
              <w:spacing w:after="0" w:line="240" w:lineRule="auto"/>
              <w:ind w:right="140"/>
              <w:jc w:val="both"/>
            </w:pP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C52B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52B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фізичної особи</w:t>
            </w:r>
            <w:r w:rsidRPr="00C52B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, яка є  учасником процедури закупівлі, на виконання абзацу 15 пункту 47 Особливостей, надається переможцем торгів.</w:t>
            </w:r>
          </w:p>
        </w:tc>
      </w:tr>
      <w:tr w:rsidR="00A81522" w:rsidTr="00806220">
        <w:trPr>
          <w:trHeight w:val="215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ідпункт 5 пункт 47 Особливостей)</w:t>
            </w:r>
          </w:p>
        </w:tc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81522" w:rsidRDefault="00A81522" w:rsidP="00806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522" w:rsidTr="00806220">
        <w:trPr>
          <w:trHeight w:val="163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before="120"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ідпункт 12 пункт 47 Особливостей)</w:t>
            </w:r>
          </w:p>
        </w:tc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1522" w:rsidRDefault="00A81522" w:rsidP="0080622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522" w:rsidRDefault="00A81522" w:rsidP="00A815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522" w:rsidRDefault="00A81522" w:rsidP="00A8152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1522" w:rsidRDefault="00A81522" w:rsidP="00A815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9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00"/>
        <w:gridCol w:w="9219"/>
      </w:tblGrid>
      <w:tr w:rsidR="00A81522" w:rsidTr="00806220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81522" w:rsidRDefault="00A81522" w:rsidP="00806220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A81522" w:rsidTr="0080622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81522" w:rsidTr="008062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before="240" w:after="0" w:line="240" w:lineRule="auto"/>
              <w:ind w:left="10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ind w:left="100" w:right="120" w:hanging="2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A81522" w:rsidRDefault="00A81522" w:rsidP="00806220">
            <w:pPr>
              <w:spacing w:after="0" w:line="240" w:lineRule="auto"/>
              <w:ind w:left="100" w:right="120" w:hanging="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A81522" w:rsidTr="0080622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before="240" w:after="0" w:line="240" w:lineRule="auto"/>
              <w:ind w:left="10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522" w:rsidRDefault="00A81522" w:rsidP="008062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/Ісламської Республіки Іран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проживає на території України на законних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1522" w:rsidRDefault="00A81522" w:rsidP="008062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активами одержаними від корупційних та інших злочинів та управителем,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A81522" w:rsidRPr="00C52BD0" w:rsidRDefault="00A81522" w:rsidP="00A8152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1522" w:rsidRPr="00A81522" w:rsidRDefault="00A81522" w:rsidP="000965A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81522" w:rsidRPr="00A81522" w:rsidSect="000A0B5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04B"/>
    <w:multiLevelType w:val="multilevel"/>
    <w:tmpl w:val="03B80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30ED2E52"/>
    <w:multiLevelType w:val="multilevel"/>
    <w:tmpl w:val="7CC40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238A3"/>
    <w:multiLevelType w:val="multilevel"/>
    <w:tmpl w:val="4A2238A3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C317BB6"/>
    <w:multiLevelType w:val="multilevel"/>
    <w:tmpl w:val="953E1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20"/>
  <w:hyphenationZone w:val="425"/>
  <w:characterSpacingControl w:val="doNotCompress"/>
  <w:compat/>
  <w:rsids>
    <w:rsidRoot w:val="00CD4426"/>
    <w:rsid w:val="0000226F"/>
    <w:rsid w:val="00010E30"/>
    <w:rsid w:val="00022CFA"/>
    <w:rsid w:val="0007431D"/>
    <w:rsid w:val="00086758"/>
    <w:rsid w:val="000965A6"/>
    <w:rsid w:val="00096B82"/>
    <w:rsid w:val="000A0B52"/>
    <w:rsid w:val="000C221F"/>
    <w:rsid w:val="000C22A7"/>
    <w:rsid w:val="000E72F7"/>
    <w:rsid w:val="00100F31"/>
    <w:rsid w:val="0010480B"/>
    <w:rsid w:val="00150665"/>
    <w:rsid w:val="00153FED"/>
    <w:rsid w:val="001724A6"/>
    <w:rsid w:val="001D42F4"/>
    <w:rsid w:val="0021560A"/>
    <w:rsid w:val="00245826"/>
    <w:rsid w:val="00254C2D"/>
    <w:rsid w:val="00265427"/>
    <w:rsid w:val="002A5279"/>
    <w:rsid w:val="00321B65"/>
    <w:rsid w:val="00324F19"/>
    <w:rsid w:val="00337799"/>
    <w:rsid w:val="00391309"/>
    <w:rsid w:val="003B35E6"/>
    <w:rsid w:val="003E556D"/>
    <w:rsid w:val="003E6E49"/>
    <w:rsid w:val="004030ED"/>
    <w:rsid w:val="00453AEB"/>
    <w:rsid w:val="004701BC"/>
    <w:rsid w:val="00474280"/>
    <w:rsid w:val="0047626D"/>
    <w:rsid w:val="00485A74"/>
    <w:rsid w:val="004B32A4"/>
    <w:rsid w:val="004C09E1"/>
    <w:rsid w:val="004C2741"/>
    <w:rsid w:val="004D5632"/>
    <w:rsid w:val="004F1E04"/>
    <w:rsid w:val="005074C6"/>
    <w:rsid w:val="00546BC4"/>
    <w:rsid w:val="005A0761"/>
    <w:rsid w:val="0060620A"/>
    <w:rsid w:val="006464D9"/>
    <w:rsid w:val="0068106F"/>
    <w:rsid w:val="00690D49"/>
    <w:rsid w:val="006940EE"/>
    <w:rsid w:val="006A24CF"/>
    <w:rsid w:val="006A3492"/>
    <w:rsid w:val="006F2F9F"/>
    <w:rsid w:val="00711801"/>
    <w:rsid w:val="00716F4A"/>
    <w:rsid w:val="00772B17"/>
    <w:rsid w:val="007A2DCE"/>
    <w:rsid w:val="007D5FD0"/>
    <w:rsid w:val="007F46C8"/>
    <w:rsid w:val="00827D09"/>
    <w:rsid w:val="008312AF"/>
    <w:rsid w:val="00835122"/>
    <w:rsid w:val="00876589"/>
    <w:rsid w:val="0089307D"/>
    <w:rsid w:val="009041AF"/>
    <w:rsid w:val="009856E1"/>
    <w:rsid w:val="009A4050"/>
    <w:rsid w:val="009C0A2D"/>
    <w:rsid w:val="009D081F"/>
    <w:rsid w:val="009D4FA0"/>
    <w:rsid w:val="00A03E30"/>
    <w:rsid w:val="00A16E4F"/>
    <w:rsid w:val="00A3606A"/>
    <w:rsid w:val="00A4513B"/>
    <w:rsid w:val="00A523BD"/>
    <w:rsid w:val="00A81522"/>
    <w:rsid w:val="00AD26D2"/>
    <w:rsid w:val="00B1243D"/>
    <w:rsid w:val="00B159E9"/>
    <w:rsid w:val="00B45ECF"/>
    <w:rsid w:val="00B513D8"/>
    <w:rsid w:val="00B830BD"/>
    <w:rsid w:val="00B955FD"/>
    <w:rsid w:val="00BA7CF2"/>
    <w:rsid w:val="00BB5560"/>
    <w:rsid w:val="00BC34E4"/>
    <w:rsid w:val="00BD11C0"/>
    <w:rsid w:val="00BE2916"/>
    <w:rsid w:val="00BF61B7"/>
    <w:rsid w:val="00C416D0"/>
    <w:rsid w:val="00C62C2E"/>
    <w:rsid w:val="00C63377"/>
    <w:rsid w:val="00C815BE"/>
    <w:rsid w:val="00CB51F1"/>
    <w:rsid w:val="00CD4426"/>
    <w:rsid w:val="00D03610"/>
    <w:rsid w:val="00D37546"/>
    <w:rsid w:val="00D435AF"/>
    <w:rsid w:val="00DA508D"/>
    <w:rsid w:val="00E277B1"/>
    <w:rsid w:val="00E35EDA"/>
    <w:rsid w:val="00E364C0"/>
    <w:rsid w:val="00E66BD0"/>
    <w:rsid w:val="00E81C68"/>
    <w:rsid w:val="00E907D6"/>
    <w:rsid w:val="00E94978"/>
    <w:rsid w:val="00ED5B4C"/>
    <w:rsid w:val="00EE59EA"/>
    <w:rsid w:val="00EF3651"/>
    <w:rsid w:val="00EF4D79"/>
    <w:rsid w:val="00F65F85"/>
    <w:rsid w:val="00F87744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52"/>
  </w:style>
  <w:style w:type="paragraph" w:styleId="1">
    <w:name w:val="heading 1"/>
    <w:basedOn w:val="a"/>
    <w:next w:val="a"/>
    <w:rsid w:val="000A0B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0B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0B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0B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0B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0B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0B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0B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0A0B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bl-cod">
    <w:name w:val="tbl-cod"/>
    <w:basedOn w:val="a"/>
    <w:uiPriority w:val="99"/>
    <w:rsid w:val="00D4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rsid w:val="00D435AF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af">
    <w:name w:val="Strong"/>
    <w:basedOn w:val="a0"/>
    <w:uiPriority w:val="22"/>
    <w:qFormat/>
    <w:rsid w:val="009856E1"/>
    <w:rPr>
      <w:b/>
      <w:bCs/>
    </w:rPr>
  </w:style>
  <w:style w:type="paragraph" w:customStyle="1" w:styleId="msonormalcxspmiddle">
    <w:name w:val="msonormalcxspmiddle"/>
    <w:basedOn w:val="a"/>
    <w:rsid w:val="0069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0">
    <w:name w:val="Обычный2"/>
    <w:rsid w:val="00690D4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1">
    <w:name w:val="Body Text Indent 2"/>
    <w:basedOn w:val="a"/>
    <w:link w:val="22"/>
    <w:rsid w:val="00096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965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52"/>
  </w:style>
  <w:style w:type="paragraph" w:styleId="1">
    <w:name w:val="heading 1"/>
    <w:basedOn w:val="a"/>
    <w:next w:val="a"/>
    <w:rsid w:val="000A0B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0B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0B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0B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0B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0B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0B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0B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0A0B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0A0B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bl-cod">
    <w:name w:val="tbl-cod"/>
    <w:basedOn w:val="a"/>
    <w:uiPriority w:val="99"/>
    <w:rsid w:val="00D4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rsid w:val="00D435AF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af">
    <w:name w:val="Strong"/>
    <w:basedOn w:val="a0"/>
    <w:uiPriority w:val="22"/>
    <w:qFormat/>
    <w:rsid w:val="009856E1"/>
    <w:rPr>
      <w:b/>
      <w:bCs/>
    </w:rPr>
  </w:style>
  <w:style w:type="paragraph" w:customStyle="1" w:styleId="msonormalcxspmiddle">
    <w:name w:val="msonormalcxspmiddle"/>
    <w:basedOn w:val="a"/>
    <w:rsid w:val="0069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0">
    <w:name w:val="Обычный2"/>
    <w:rsid w:val="00690D49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A67A33-246B-49D3-8E4A-A5FAC9D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8661</Words>
  <Characters>4937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</cp:lastModifiedBy>
  <cp:revision>6</cp:revision>
  <dcterms:created xsi:type="dcterms:W3CDTF">2023-12-14T14:04:00Z</dcterms:created>
  <dcterms:modified xsi:type="dcterms:W3CDTF">2024-04-15T08:40:00Z</dcterms:modified>
</cp:coreProperties>
</file>