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DD7E0A">
                                    <w:rPr>
                                      <w:rFonts w:ascii="Times New Roman" w:hAnsi="Times New Roman" w:cs="Times New Roman"/>
                                      <w:b/>
                                      <w:color w:val="auto"/>
                                      <w:sz w:val="28"/>
                                      <w:szCs w:val="28"/>
                                      <w:lang w:val="uk-UA"/>
                                    </w:rPr>
                                    <w:t>Т.ТАНЮК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C3027"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____________</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DD7E0A">
                              <w:rPr>
                                <w:rFonts w:ascii="Times New Roman" w:hAnsi="Times New Roman" w:cs="Times New Roman"/>
                                <w:b/>
                                <w:color w:val="auto"/>
                                <w:sz w:val="28"/>
                                <w:szCs w:val="28"/>
                                <w:lang w:val="uk-UA"/>
                              </w:rPr>
                              <w:t>Т.ТАНЮК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C3027"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____________</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B1624">
      <w:pPr>
        <w:pStyle w:val="ad"/>
        <w:ind w:firstLine="709"/>
        <w:jc w:val="center"/>
        <w:rPr>
          <w:rFonts w:ascii="Times New Roman" w:hAnsi="Times New Roman" w:cs="Times New Roman"/>
          <w:b/>
          <w:sz w:val="48"/>
          <w:szCs w:val="48"/>
          <w:lang w:val="uk-UA"/>
        </w:rPr>
      </w:pPr>
      <w:r>
        <w:rPr>
          <w:rFonts w:ascii="Times New Roman" w:hAnsi="Times New Roman" w:cs="Times New Roman"/>
          <w:b/>
          <w:sz w:val="48"/>
          <w:szCs w:val="48"/>
          <w:lang w:val="uk-UA"/>
        </w:rPr>
        <w:t>(нова редакція)</w:t>
      </w: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Default="00676463" w:rsidP="00DB4CCD">
      <w:pPr>
        <w:pStyle w:val="ad"/>
        <w:ind w:firstLine="709"/>
        <w:jc w:val="center"/>
        <w:rPr>
          <w:rFonts w:ascii="Times New Roman" w:hAnsi="Times New Roman" w:cs="Times New Roman"/>
          <w:b/>
          <w:sz w:val="28"/>
          <w:szCs w:val="28"/>
          <w:lang w:val="uk-UA"/>
        </w:rPr>
      </w:pPr>
      <w:r w:rsidRPr="00CD0849">
        <w:rPr>
          <w:rFonts w:ascii="Times New Roman" w:hAnsi="Times New Roman" w:cs="Times New Roman"/>
          <w:sz w:val="28"/>
          <w:szCs w:val="28"/>
          <w:lang w:val="uk-UA"/>
        </w:rPr>
        <w:t>Предмет закупівлі</w:t>
      </w:r>
      <w:r w:rsidRPr="00CD0849">
        <w:rPr>
          <w:rFonts w:ascii="Times New Roman" w:hAnsi="Times New Roman" w:cs="Times New Roman"/>
          <w:b/>
          <w:sz w:val="28"/>
          <w:szCs w:val="28"/>
          <w:lang w:val="uk-UA"/>
        </w:rPr>
        <w:t xml:space="preserve">: </w:t>
      </w:r>
    </w:p>
    <w:p w:rsidR="00CD0849" w:rsidRPr="00CD0849" w:rsidRDefault="00CD0849" w:rsidP="00DB4CCD">
      <w:pPr>
        <w:pStyle w:val="ad"/>
        <w:ind w:firstLine="709"/>
        <w:jc w:val="center"/>
        <w:rPr>
          <w:rFonts w:ascii="Times New Roman" w:hAnsi="Times New Roman" w:cs="Times New Roman"/>
          <w:b/>
          <w:sz w:val="28"/>
          <w:szCs w:val="28"/>
          <w:lang w:val="uk-UA"/>
        </w:rPr>
      </w:pPr>
    </w:p>
    <w:p w:rsidR="00CD0849" w:rsidRPr="000E4B04" w:rsidRDefault="00D70ED8" w:rsidP="00CD0849">
      <w:pPr>
        <w:pStyle w:val="ad"/>
        <w:spacing w:after="12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Охоронні послуги, послуги зі спостереження за станом та технічне </w:t>
      </w:r>
      <w:r w:rsidR="00D27D04">
        <w:rPr>
          <w:rFonts w:ascii="Times New Roman" w:hAnsi="Times New Roman" w:cs="Times New Roman"/>
          <w:b/>
          <w:sz w:val="28"/>
          <w:szCs w:val="28"/>
          <w:lang w:val="uk-UA"/>
        </w:rPr>
        <w:t>обслуговування сигналізації</w:t>
      </w:r>
    </w:p>
    <w:p w:rsidR="00E868B0" w:rsidRPr="00CD0849" w:rsidRDefault="00CD0849">
      <w:pPr>
        <w:pStyle w:val="ad"/>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7E4D89" w:rsidRPr="00CD0849">
        <w:rPr>
          <w:rFonts w:ascii="Times New Roman" w:hAnsi="Times New Roman" w:cs="Times New Roman"/>
          <w:b/>
          <w:sz w:val="28"/>
          <w:szCs w:val="28"/>
          <w:lang w:val="uk-UA"/>
        </w:rPr>
        <w:t xml:space="preserve">ДК 021:2015 - </w:t>
      </w:r>
      <w:r w:rsidR="00D27D04">
        <w:rPr>
          <w:rFonts w:ascii="Times New Roman" w:hAnsi="Times New Roman" w:cs="Times New Roman"/>
          <w:b/>
          <w:sz w:val="28"/>
          <w:szCs w:val="28"/>
          <w:lang w:val="uk-UA"/>
        </w:rPr>
        <w:t>79710000</w:t>
      </w:r>
      <w:r w:rsidR="007E4D89" w:rsidRPr="00CD0849">
        <w:rPr>
          <w:rFonts w:ascii="Times New Roman" w:hAnsi="Times New Roman" w:cs="Times New Roman"/>
          <w:b/>
          <w:sz w:val="28"/>
          <w:szCs w:val="28"/>
          <w:lang w:val="uk-UA"/>
        </w:rPr>
        <w:t>-</w:t>
      </w:r>
      <w:r w:rsidR="00D27D04">
        <w:rPr>
          <w:rFonts w:ascii="Times New Roman" w:hAnsi="Times New Roman" w:cs="Times New Roman"/>
          <w:b/>
          <w:sz w:val="28"/>
          <w:szCs w:val="28"/>
          <w:lang w:val="uk-UA"/>
        </w:rPr>
        <w:t>4</w:t>
      </w:r>
      <w:r w:rsidR="007E4D89" w:rsidRPr="00CD0849">
        <w:rPr>
          <w:rFonts w:ascii="Times New Roman" w:hAnsi="Times New Roman" w:cs="Times New Roman"/>
          <w:b/>
          <w:sz w:val="28"/>
          <w:szCs w:val="28"/>
          <w:lang w:val="uk-UA"/>
        </w:rPr>
        <w:t xml:space="preserve"> </w:t>
      </w:r>
      <w:r w:rsidR="00D27D04">
        <w:rPr>
          <w:rFonts w:ascii="Times New Roman" w:hAnsi="Times New Roman" w:cs="Times New Roman"/>
          <w:b/>
          <w:sz w:val="28"/>
          <w:szCs w:val="28"/>
          <w:lang w:val="uk-UA"/>
        </w:rPr>
        <w:t>Охоронні послуги</w:t>
      </w:r>
      <w:r>
        <w:rPr>
          <w:rFonts w:ascii="Times New Roman" w:hAnsi="Times New Roman" w:cs="Times New Roman"/>
          <w:b/>
          <w:sz w:val="28"/>
          <w:szCs w:val="28"/>
          <w:lang w:val="uk-UA"/>
        </w:rPr>
        <w:t>)</w:t>
      </w:r>
    </w:p>
    <w:p w:rsidR="00E868B0" w:rsidRPr="00CD7243" w:rsidRDefault="00E868B0">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F67CC2" w:rsidRDefault="00F67CC2">
      <w:pPr>
        <w:pStyle w:val="ad"/>
        <w:ind w:firstLine="709"/>
        <w:jc w:val="both"/>
        <w:rPr>
          <w:rFonts w:ascii="Times New Roman" w:hAnsi="Times New Roman" w:cs="Times New Roman"/>
          <w:szCs w:val="24"/>
          <w:lang w:val="uk-UA"/>
        </w:rPr>
      </w:pPr>
    </w:p>
    <w:p w:rsidR="00F67CC2" w:rsidRDefault="00F67CC2">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DD7E0A">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Івано-Франківськ</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27D04">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7605FA">
            <w:pPr>
              <w:jc w:val="both"/>
              <w:rPr>
                <w:b/>
                <w:lang w:val="uk-UA"/>
              </w:rPr>
            </w:pPr>
            <w:r>
              <w:rPr>
                <w:b/>
                <w:lang w:val="uk-UA"/>
              </w:rPr>
              <w:t xml:space="preserve">Західний офіс </w:t>
            </w:r>
            <w:proofErr w:type="spellStart"/>
            <w:r>
              <w:rPr>
                <w:b/>
                <w:lang w:val="uk-UA"/>
              </w:rPr>
              <w:t>Держаудитслужби</w:t>
            </w:r>
            <w:proofErr w:type="spellEnd"/>
            <w:r>
              <w:rPr>
                <w:b/>
                <w:lang w:val="uk-UA"/>
              </w:rPr>
              <w:t xml:space="preserve">, Управління Західного офісу </w:t>
            </w:r>
            <w:proofErr w:type="spellStart"/>
            <w:r>
              <w:rPr>
                <w:b/>
                <w:lang w:val="uk-UA"/>
              </w:rPr>
              <w:t>Держаудитслужби</w:t>
            </w:r>
            <w:proofErr w:type="spellEnd"/>
            <w:r>
              <w:rPr>
                <w:b/>
                <w:lang w:val="uk-UA"/>
              </w:rPr>
              <w:t xml:space="preserve"> в Івано-Франківській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702F">
            <w:pPr>
              <w:pStyle w:val="ae"/>
              <w:spacing w:beforeAutospacing="0" w:afterAutospacing="0"/>
              <w:ind w:firstLine="13"/>
              <w:jc w:val="both"/>
              <w:rPr>
                <w:lang w:val="uk-UA" w:eastAsia="uk-UA"/>
              </w:rPr>
            </w:pPr>
            <w:r w:rsidRPr="00CD7243">
              <w:rPr>
                <w:lang w:val="uk-UA" w:eastAsia="uk-UA"/>
              </w:rPr>
              <w:t xml:space="preserve">вул. Костюшка, 8, м. Львів, 79000, </w:t>
            </w:r>
            <w:r w:rsidR="007605FA">
              <w:rPr>
                <w:lang w:val="uk-UA" w:eastAsia="uk-UA"/>
              </w:rPr>
              <w:t>Україна (юридична адреса)</w:t>
            </w:r>
          </w:p>
          <w:p w:rsidR="007605FA" w:rsidRPr="007605FA" w:rsidRDefault="007605FA">
            <w:pPr>
              <w:pStyle w:val="ae"/>
              <w:spacing w:beforeAutospacing="0" w:afterAutospacing="0"/>
              <w:ind w:firstLine="13"/>
              <w:jc w:val="both"/>
              <w:rPr>
                <w:lang w:val="uk-UA"/>
              </w:rPr>
            </w:pPr>
            <w:r>
              <w:rPr>
                <w:lang w:val="uk-UA"/>
              </w:rPr>
              <w:t>вул.Василіянок,48,м.Івано-Франківськ,</w:t>
            </w:r>
            <w:r w:rsidR="00DD6039">
              <w:rPr>
                <w:lang w:val="uk-UA"/>
              </w:rPr>
              <w:t>7</w:t>
            </w:r>
            <w:r>
              <w:rPr>
                <w:lang w:val="uk-UA"/>
              </w:rPr>
              <w:t>6018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AF492B" w:rsidRDefault="007605FA" w:rsidP="003050BD">
            <w:pPr>
              <w:tabs>
                <w:tab w:val="left" w:pos="2160"/>
                <w:tab w:val="left" w:pos="3600"/>
              </w:tabs>
              <w:jc w:val="both"/>
              <w:rPr>
                <w:lang w:val="en-US" w:eastAsia="uk-UA"/>
              </w:rPr>
            </w:pPr>
            <w:r>
              <w:rPr>
                <w:lang w:val="uk-UA" w:eastAsia="uk-UA"/>
              </w:rPr>
              <w:t>Танюк Тетяна Миколаївна</w:t>
            </w:r>
            <w:r w:rsidR="003050BD" w:rsidRPr="00CD7243">
              <w:rPr>
                <w:lang w:val="uk-UA" w:eastAsia="uk-UA"/>
              </w:rPr>
              <w:t xml:space="preserve"> – начальник відділу </w:t>
            </w:r>
            <w:r w:rsidR="003050BD" w:rsidRPr="00CD7243">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003050BD" w:rsidRPr="00CD7243">
              <w:rPr>
                <w:lang w:val="uk-UA" w:eastAsia="uk-UA"/>
              </w:rPr>
              <w:t xml:space="preserve"> </w:t>
            </w:r>
            <w:r>
              <w:rPr>
                <w:lang w:val="uk-UA" w:eastAsia="uk-UA"/>
              </w:rPr>
              <w:t xml:space="preserve">Управління </w:t>
            </w:r>
            <w:r w:rsidR="003050BD" w:rsidRPr="00CD7243">
              <w:rPr>
                <w:lang w:val="uk-UA"/>
              </w:rPr>
              <w:t xml:space="preserve">Західного офісу </w:t>
            </w:r>
            <w:proofErr w:type="spellStart"/>
            <w:r w:rsidR="003050BD" w:rsidRPr="00CD7243">
              <w:rPr>
                <w:lang w:val="uk-UA"/>
              </w:rPr>
              <w:t>Держаудитслужби</w:t>
            </w:r>
            <w:proofErr w:type="spellEnd"/>
            <w:r>
              <w:rPr>
                <w:lang w:val="uk-UA"/>
              </w:rPr>
              <w:t xml:space="preserve"> в Івано-Франківській області</w:t>
            </w:r>
            <w:r w:rsidR="003050BD" w:rsidRPr="00CD7243">
              <w:rPr>
                <w:lang w:val="uk-UA" w:eastAsia="uk-UA"/>
              </w:rPr>
              <w:t xml:space="preserve">, </w:t>
            </w:r>
            <w:proofErr w:type="spellStart"/>
            <w:r w:rsidR="003050BD" w:rsidRPr="00CD7243">
              <w:rPr>
                <w:lang w:val="uk-UA" w:eastAsia="uk-UA"/>
              </w:rPr>
              <w:t>тел</w:t>
            </w:r>
            <w:proofErr w:type="spellEnd"/>
            <w:r w:rsidR="003050BD" w:rsidRPr="00CD7243">
              <w:rPr>
                <w:lang w:val="uk-UA" w:eastAsia="uk-UA"/>
              </w:rPr>
              <w:t>. (03</w:t>
            </w:r>
            <w:r>
              <w:rPr>
                <w:lang w:val="uk-UA" w:eastAsia="uk-UA"/>
              </w:rPr>
              <w:t>4</w:t>
            </w:r>
            <w:r w:rsidR="003050BD" w:rsidRPr="00CD7243">
              <w:rPr>
                <w:lang w:val="uk-UA" w:eastAsia="uk-UA"/>
              </w:rPr>
              <w:t xml:space="preserve">) </w:t>
            </w:r>
            <w:r>
              <w:rPr>
                <w:lang w:val="uk-UA" w:eastAsia="uk-UA"/>
              </w:rPr>
              <w:t>55</w:t>
            </w:r>
            <w:r w:rsidR="003050BD" w:rsidRPr="00CD7243">
              <w:rPr>
                <w:lang w:val="uk-UA" w:eastAsia="uk-UA"/>
              </w:rPr>
              <w:t>–</w:t>
            </w:r>
            <w:r>
              <w:rPr>
                <w:lang w:val="uk-UA" w:eastAsia="uk-UA"/>
              </w:rPr>
              <w:t>20</w:t>
            </w:r>
            <w:r w:rsidR="003050BD" w:rsidRPr="00CD7243">
              <w:rPr>
                <w:lang w:val="uk-UA" w:eastAsia="uk-UA"/>
              </w:rPr>
              <w:t>–</w:t>
            </w:r>
            <w:r>
              <w:rPr>
                <w:lang w:val="uk-UA" w:eastAsia="uk-UA"/>
              </w:rPr>
              <w:t>23</w:t>
            </w:r>
            <w:r w:rsidR="003050BD" w:rsidRPr="00CD7243">
              <w:rPr>
                <w:lang w:val="uk-UA" w:eastAsia="uk-UA"/>
              </w:rPr>
              <w:t>;</w:t>
            </w:r>
            <w:r w:rsidR="003050BD" w:rsidRPr="00CD7243">
              <w:rPr>
                <w:lang w:val="uk-UA"/>
              </w:rPr>
              <w:t xml:space="preserve"> електронна адреса: </w:t>
            </w:r>
            <w:r w:rsidR="00AF492B">
              <w:rPr>
                <w:lang w:val="uk-UA"/>
              </w:rPr>
              <w:t>101178</w:t>
            </w:r>
            <w:r w:rsidR="00BB3C9A" w:rsidRPr="00CD7243">
              <w:rPr>
                <w:lang w:val="uk-UA"/>
              </w:rPr>
              <w:t>@</w:t>
            </w:r>
            <w:r w:rsidR="00AF492B">
              <w:rPr>
                <w:lang w:val="en-US"/>
              </w:rPr>
              <w:t>ukr.net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007A2E" w:rsidRPr="00007A2E" w:rsidRDefault="00007A2E" w:rsidP="00007A2E">
            <w:pPr>
              <w:pStyle w:val="ad"/>
              <w:spacing w:after="120"/>
              <w:jc w:val="both"/>
              <w:rPr>
                <w:rFonts w:ascii="Times New Roman" w:hAnsi="Times New Roman" w:cs="Times New Roman"/>
                <w:szCs w:val="24"/>
                <w:lang w:val="uk-UA"/>
              </w:rPr>
            </w:pPr>
            <w:r w:rsidRPr="00007A2E">
              <w:rPr>
                <w:rFonts w:ascii="Times New Roman" w:hAnsi="Times New Roman" w:cs="Times New Roman"/>
                <w:szCs w:val="24"/>
                <w:lang w:val="uk-UA"/>
              </w:rPr>
              <w:t>Охоронні послуги, послуги зі спостереження за станом та технічне обслуговування сигналізації</w:t>
            </w:r>
          </w:p>
          <w:p w:rsidR="00F95EAD" w:rsidRPr="00007A2E" w:rsidRDefault="00F95EAD" w:rsidP="00F448D8">
            <w:pPr>
              <w:rPr>
                <w:color w:val="000000"/>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F70A18" w:rsidRPr="00F70A18">
              <w:rPr>
                <w:bCs/>
                <w:lang w:val="uk-UA" w:eastAsia="uk-UA"/>
              </w:rPr>
              <w:t xml:space="preserve">м. </w:t>
            </w:r>
            <w:r w:rsidR="00AF492B">
              <w:rPr>
                <w:bCs/>
                <w:lang w:val="uk-UA" w:eastAsia="uk-UA"/>
              </w:rPr>
              <w:t>Івано-Франківськ</w:t>
            </w:r>
            <w:r w:rsidR="00F70A18">
              <w:rPr>
                <w:bCs/>
                <w:lang w:val="uk-UA" w:eastAsia="uk-UA"/>
              </w:rPr>
              <w:t>,</w:t>
            </w:r>
            <w:r w:rsidR="00F70A18" w:rsidRPr="00F70A18">
              <w:rPr>
                <w:bCs/>
                <w:lang w:val="uk-UA" w:eastAsia="uk-UA"/>
              </w:rPr>
              <w:t xml:space="preserve"> вул. </w:t>
            </w:r>
            <w:r w:rsidR="00AF492B">
              <w:rPr>
                <w:bCs/>
                <w:lang w:val="uk-UA" w:eastAsia="uk-UA"/>
              </w:rPr>
              <w:t>Ва</w:t>
            </w:r>
            <w:r w:rsidR="00F95EAD">
              <w:rPr>
                <w:bCs/>
                <w:lang w:val="uk-UA" w:eastAsia="uk-UA"/>
              </w:rPr>
              <w:t>с</w:t>
            </w:r>
            <w:r w:rsidR="00AF492B">
              <w:rPr>
                <w:bCs/>
                <w:lang w:val="uk-UA" w:eastAsia="uk-UA"/>
              </w:rPr>
              <w:t>иліянок</w:t>
            </w:r>
            <w:r w:rsidR="00F70A18" w:rsidRPr="00F70A18">
              <w:rPr>
                <w:bCs/>
                <w:lang w:val="uk-UA" w:eastAsia="uk-UA"/>
              </w:rPr>
              <w:t xml:space="preserve">, </w:t>
            </w:r>
            <w:r w:rsidR="00AF492B">
              <w:rPr>
                <w:bCs/>
                <w:lang w:val="uk-UA" w:eastAsia="uk-UA"/>
              </w:rPr>
              <w:t>4</w:t>
            </w:r>
            <w:r w:rsidR="00F70A18" w:rsidRPr="00F70A18">
              <w:rPr>
                <w:bCs/>
                <w:lang w:val="uk-UA" w:eastAsia="uk-UA"/>
              </w:rPr>
              <w:t>8</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007A2E" w:rsidP="0078670D">
            <w:pPr>
              <w:pStyle w:val="ae"/>
              <w:spacing w:beforeAutospacing="0" w:afterAutospacing="0"/>
              <w:rPr>
                <w:lang w:val="uk-UA"/>
              </w:rPr>
            </w:pPr>
            <w:r>
              <w:rPr>
                <w:lang w:val="uk-UA"/>
              </w:rPr>
              <w:t>Протягом 2024 року; до 31.12.2024 року, але в будь-якому разі до повного виконання за договором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D666C0"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4738D6">
              <w:rPr>
                <w:lang w:val="uk-UA"/>
              </w:rPr>
              <w:lastRenderedPageBreak/>
              <w:t xml:space="preserve">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8D6">
              <w:rPr>
                <w:rFonts w:eastAsia="Times New Roman"/>
                <w:lang w:val="uk-UA"/>
              </w:rPr>
              <w:lastRenderedPageBreak/>
              <w:t>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про дотримання необхідних </w:t>
            </w:r>
            <w:r w:rsidRPr="00B0642E">
              <w:rPr>
                <w:rFonts w:eastAsia="Times New Roman"/>
                <w:lang w:val="uk-UA"/>
              </w:rPr>
              <w:lastRenderedPageBreak/>
              <w:t>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 xml:space="preserve">Подання документа учасником процедури закупівлі у складі тендерної пропозиції, що є </w:t>
            </w:r>
            <w:r w:rsidRPr="00B0642E">
              <w:rPr>
                <w:rFonts w:eastAsia="Times New Roman"/>
                <w:lang w:val="uk-UA"/>
              </w:rPr>
              <w:lastRenderedPageBreak/>
              <w:t>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 xml:space="preserve">Про електронні </w:t>
            </w:r>
            <w:r w:rsidRPr="00B0642E">
              <w:rPr>
                <w:rFonts w:eastAsia="Times New Roman"/>
                <w:lang w:val="uk-UA"/>
              </w:rPr>
              <w:lastRenderedPageBreak/>
              <w:t>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w:t>
            </w:r>
            <w:r w:rsidRPr="00B0642E">
              <w:rPr>
                <w:rFonts w:eastAsia="Times New Roman"/>
                <w:lang w:val="uk-UA"/>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1642BE">
              <w:rPr>
                <w:rFonts w:eastAsia="Times New Roman"/>
                <w:lang w:val="uk-UA"/>
              </w:rPr>
              <w:lastRenderedPageBreak/>
              <w:t>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r w:rsidRPr="00FE5C44">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w:t>
            </w:r>
            <w:r w:rsidRPr="00586A05">
              <w:rPr>
                <w:color w:val="333333"/>
                <w:shd w:val="clear" w:color="auto" w:fill="FFFFFF"/>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DD6039" w:rsidP="00CA3CB5">
            <w:pPr>
              <w:widowControl w:val="0"/>
              <w:ind w:firstLine="421"/>
              <w:jc w:val="both"/>
              <w:rPr>
                <w:highlight w:val="yellow"/>
                <w:lang w:val="uk-UA"/>
              </w:rPr>
            </w:pPr>
            <w:r>
              <w:rPr>
                <w:lang w:val="uk-UA"/>
              </w:rPr>
              <w:t>В</w:t>
            </w:r>
            <w:r w:rsidRPr="00DD6039">
              <w:rPr>
                <w:lang w:val="uk-UA"/>
              </w:rPr>
              <w:t>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F679D5">
              <w:rPr>
                <w:rFonts w:eastAsia="Times New Roman"/>
                <w:lang w:val="uk-UA"/>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679D5" w:rsidRPr="00CD7243" w:rsidRDefault="00F679D5"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EB1624">
              <w:rPr>
                <w:rFonts w:eastAsia="Times New Roman"/>
                <w:highlight w:val="yellow"/>
                <w:lang w:val="uk-UA"/>
              </w:rPr>
              <w:t>Кінцевий строк подання тендерних пропозицій</w:t>
            </w:r>
            <w:r w:rsidR="00B64B96" w:rsidRPr="00EB1624">
              <w:rPr>
                <w:rFonts w:eastAsia="Times New Roman"/>
                <w:highlight w:val="yellow"/>
                <w:lang w:val="uk-UA"/>
              </w:rPr>
              <w:t>:</w:t>
            </w:r>
            <w:r w:rsidRPr="00EB1624">
              <w:rPr>
                <w:rFonts w:eastAsia="Times New Roman"/>
                <w:highlight w:val="yellow"/>
                <w:lang w:val="uk-UA"/>
              </w:rPr>
              <w:t xml:space="preserve"> </w:t>
            </w:r>
            <w:r w:rsidR="00EA07B0">
              <w:rPr>
                <w:rFonts w:eastAsia="Times New Roman"/>
                <w:highlight w:val="yellow"/>
                <w:lang w:val="uk-UA"/>
              </w:rPr>
              <w:t>09</w:t>
            </w:r>
            <w:bookmarkStart w:id="1" w:name="_GoBack"/>
            <w:bookmarkEnd w:id="1"/>
            <w:r w:rsidR="00E1261B" w:rsidRPr="00EB1624">
              <w:rPr>
                <w:rFonts w:eastAsia="Times New Roman"/>
                <w:highlight w:val="yellow"/>
                <w:lang w:val="uk-UA"/>
              </w:rPr>
              <w:t>.</w:t>
            </w:r>
            <w:r w:rsidR="00007A2E" w:rsidRPr="00EB1624">
              <w:rPr>
                <w:rFonts w:eastAsia="Times New Roman"/>
                <w:highlight w:val="yellow"/>
                <w:lang w:val="uk-UA"/>
              </w:rPr>
              <w:t>0</w:t>
            </w:r>
            <w:r w:rsidR="00DC50DC">
              <w:rPr>
                <w:rFonts w:eastAsia="Times New Roman"/>
                <w:highlight w:val="yellow"/>
                <w:lang w:val="uk-UA"/>
              </w:rPr>
              <w:t>3</w:t>
            </w:r>
            <w:r w:rsidR="00E1261B" w:rsidRPr="00EB1624">
              <w:rPr>
                <w:rFonts w:eastAsia="Times New Roman"/>
                <w:highlight w:val="yellow"/>
                <w:lang w:val="uk-UA"/>
              </w:rPr>
              <w:t>.202</w:t>
            </w:r>
            <w:r w:rsidR="00007A2E" w:rsidRPr="00EB1624">
              <w:rPr>
                <w:rFonts w:eastAsia="Times New Roman"/>
                <w:highlight w:val="yellow"/>
                <w:lang w:val="uk-UA"/>
              </w:rPr>
              <w:t>4</w:t>
            </w:r>
            <w:r w:rsidR="00EF363C" w:rsidRPr="00EB1624">
              <w:rPr>
                <w:rFonts w:eastAsia="Times New Roman"/>
                <w:highlight w:val="yellow"/>
                <w:lang w:val="uk-UA"/>
              </w:rPr>
              <w:t xml:space="preserve"> 00 год 00 хв</w:t>
            </w:r>
            <w:r w:rsidR="00B679AB" w:rsidRPr="00EB1624">
              <w:rPr>
                <w:rFonts w:eastAsia="Times New Roman"/>
                <w:highlight w:val="yellow"/>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 xml:space="preserve">Розкриття тендерних пропозицій здійснюється відповідно до статті 28 Закону (положення абзацу </w:t>
            </w:r>
            <w:r w:rsidRPr="008F5CC8">
              <w:rPr>
                <w:rFonts w:eastAsia="Times New Roman"/>
                <w:lang w:val="uk-UA"/>
              </w:rPr>
              <w:lastRenderedPageBreak/>
              <w:t>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9C2264">
              <w:rPr>
                <w:rFonts w:eastAsia="Times New Roman"/>
                <w:lang w:val="uk-UA"/>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EE20C6">
              <w:rPr>
                <w:rFonts w:eastAsia="Times New Roman"/>
                <w:lang w:val="uk-UA"/>
              </w:rPr>
              <w:lastRenderedPageBreak/>
              <w:t>(лота).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w:t>
            </w:r>
            <w:r w:rsidRPr="00EE20C6">
              <w:rPr>
                <w:rFonts w:eastAsia="Times New Roman"/>
                <w:lang w:val="uk-UA"/>
              </w:rPr>
              <w:lastRenderedPageBreak/>
              <w:t xml:space="preserve">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 xml:space="preserve">До розрахунку ціни  пропозиції не включаються будь-які витрати, понесені учасником у процесі </w:t>
            </w:r>
            <w:r w:rsidRPr="00723498">
              <w:rPr>
                <w:rFonts w:eastAsia="Times New Roman"/>
                <w:lang w:val="uk-UA"/>
              </w:rPr>
              <w:lastRenderedPageBreak/>
              <w:t>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w:t>
            </w:r>
            <w:r w:rsidRPr="00723498">
              <w:rPr>
                <w:rFonts w:eastAsia="Times New Roman"/>
                <w:lang w:val="uk-UA"/>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 xml:space="preserve">останови Кабінету Міністрів України «Про забезпечення захисту національних інтересів за майбутніми позовами держави Україна у зв’язку з </w:t>
            </w:r>
            <w:r w:rsidRPr="00723498">
              <w:rPr>
                <w:rFonts w:eastAsia="Times New Roman"/>
                <w:lang w:val="uk-UA"/>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4"/>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B81202">
              <w:rPr>
                <w:lang w:val="uk-UA"/>
              </w:rPr>
              <w:t>2) тендерна пропозиція:</w:t>
            </w:r>
          </w:p>
          <w:p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B661DF">
              <w:rPr>
                <w:lang w:val="uk-UA"/>
              </w:rPr>
              <w:lastRenderedPageBreak/>
              <w:t>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 xml:space="preserve">Інформація про відміну відкритих торгів автоматично надсилається всім учасникам процедури </w:t>
            </w:r>
            <w:r w:rsidRPr="00B661DF">
              <w:rPr>
                <w:rFonts w:eastAsia="Times New Roman"/>
                <w:lang w:val="uk-UA"/>
              </w:rPr>
              <w:lastRenderedPageBreak/>
              <w:t>закупівлі електронною системою закупівель в день її оприлюднення.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Істотні умови, що обов’язково включаються до </w:t>
            </w:r>
            <w:r w:rsidRPr="00CD7243">
              <w:rPr>
                <w:rFonts w:eastAsia="Times New Roman"/>
                <w:b/>
                <w:lang w:val="uk-UA"/>
              </w:rPr>
              <w:lastRenderedPageBreak/>
              <w:t>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lastRenderedPageBreak/>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lastRenderedPageBreak/>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lastRenderedPageBreak/>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7515BD" w:rsidRPr="00CD7243" w:rsidRDefault="007515BD" w:rsidP="00AF2D9F">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B9" w:rsidRDefault="000E70B9">
      <w:r>
        <w:separator/>
      </w:r>
    </w:p>
  </w:endnote>
  <w:endnote w:type="continuationSeparator" w:id="0">
    <w:p w:rsidR="000E70B9" w:rsidRDefault="000E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B9" w:rsidRDefault="000E70B9">
      <w:r>
        <w:separator/>
      </w:r>
    </w:p>
  </w:footnote>
  <w:footnote w:type="continuationSeparator" w:id="0">
    <w:p w:rsidR="000E70B9" w:rsidRDefault="000E7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07A2E"/>
    <w:rsid w:val="00010941"/>
    <w:rsid w:val="0001722C"/>
    <w:rsid w:val="000471C6"/>
    <w:rsid w:val="0006059F"/>
    <w:rsid w:val="00077614"/>
    <w:rsid w:val="000956A4"/>
    <w:rsid w:val="000A0ED1"/>
    <w:rsid w:val="000A13B8"/>
    <w:rsid w:val="000A1EAC"/>
    <w:rsid w:val="000B0880"/>
    <w:rsid w:val="000C05CC"/>
    <w:rsid w:val="000C2FF4"/>
    <w:rsid w:val="000D6CB2"/>
    <w:rsid w:val="000E4B04"/>
    <w:rsid w:val="000E70B9"/>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475C"/>
    <w:rsid w:val="00175D13"/>
    <w:rsid w:val="00185A6F"/>
    <w:rsid w:val="001915D7"/>
    <w:rsid w:val="00192734"/>
    <w:rsid w:val="00192BFE"/>
    <w:rsid w:val="00195A8F"/>
    <w:rsid w:val="001A3E6A"/>
    <w:rsid w:val="001A7F69"/>
    <w:rsid w:val="001B1069"/>
    <w:rsid w:val="001B344D"/>
    <w:rsid w:val="001C2E38"/>
    <w:rsid w:val="001D3C0D"/>
    <w:rsid w:val="001D5B65"/>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677FA"/>
    <w:rsid w:val="002735DE"/>
    <w:rsid w:val="00274A29"/>
    <w:rsid w:val="00276249"/>
    <w:rsid w:val="00287A50"/>
    <w:rsid w:val="0029519F"/>
    <w:rsid w:val="00296905"/>
    <w:rsid w:val="002A72FB"/>
    <w:rsid w:val="002B05F1"/>
    <w:rsid w:val="002B33D8"/>
    <w:rsid w:val="002C24F8"/>
    <w:rsid w:val="002E2459"/>
    <w:rsid w:val="002F09DD"/>
    <w:rsid w:val="002F31DE"/>
    <w:rsid w:val="00302E85"/>
    <w:rsid w:val="00304B7F"/>
    <w:rsid w:val="003050BD"/>
    <w:rsid w:val="00311D7C"/>
    <w:rsid w:val="00313A26"/>
    <w:rsid w:val="0031425A"/>
    <w:rsid w:val="00314A0B"/>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77D28"/>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3ACB"/>
    <w:rsid w:val="005D5B0B"/>
    <w:rsid w:val="005E0F43"/>
    <w:rsid w:val="005E5580"/>
    <w:rsid w:val="005F46C1"/>
    <w:rsid w:val="005F473D"/>
    <w:rsid w:val="005F57ED"/>
    <w:rsid w:val="00602F38"/>
    <w:rsid w:val="00621BB8"/>
    <w:rsid w:val="00621F13"/>
    <w:rsid w:val="00622F5D"/>
    <w:rsid w:val="00623744"/>
    <w:rsid w:val="00623A55"/>
    <w:rsid w:val="00624AAD"/>
    <w:rsid w:val="00625CB1"/>
    <w:rsid w:val="00633C86"/>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6F7D16"/>
    <w:rsid w:val="00703085"/>
    <w:rsid w:val="00713906"/>
    <w:rsid w:val="00723498"/>
    <w:rsid w:val="00730A6B"/>
    <w:rsid w:val="00731D6C"/>
    <w:rsid w:val="007405E0"/>
    <w:rsid w:val="00744EC3"/>
    <w:rsid w:val="007465BE"/>
    <w:rsid w:val="007514BA"/>
    <w:rsid w:val="007515BD"/>
    <w:rsid w:val="00751A00"/>
    <w:rsid w:val="00755259"/>
    <w:rsid w:val="007605FA"/>
    <w:rsid w:val="007634DB"/>
    <w:rsid w:val="007650F7"/>
    <w:rsid w:val="00767693"/>
    <w:rsid w:val="007772AB"/>
    <w:rsid w:val="007830EE"/>
    <w:rsid w:val="00785621"/>
    <w:rsid w:val="0078670D"/>
    <w:rsid w:val="0079402A"/>
    <w:rsid w:val="00795542"/>
    <w:rsid w:val="00797AC8"/>
    <w:rsid w:val="007A5A86"/>
    <w:rsid w:val="007B702F"/>
    <w:rsid w:val="007C07DC"/>
    <w:rsid w:val="007C394D"/>
    <w:rsid w:val="007C7076"/>
    <w:rsid w:val="007D01EC"/>
    <w:rsid w:val="007D18D6"/>
    <w:rsid w:val="007E4D89"/>
    <w:rsid w:val="007E6B34"/>
    <w:rsid w:val="007F737E"/>
    <w:rsid w:val="008136F6"/>
    <w:rsid w:val="008152CD"/>
    <w:rsid w:val="008153E9"/>
    <w:rsid w:val="008168EF"/>
    <w:rsid w:val="0082458F"/>
    <w:rsid w:val="00825C8F"/>
    <w:rsid w:val="0083241F"/>
    <w:rsid w:val="008326FC"/>
    <w:rsid w:val="00832F6A"/>
    <w:rsid w:val="00862F66"/>
    <w:rsid w:val="0086680F"/>
    <w:rsid w:val="00871C3A"/>
    <w:rsid w:val="00872024"/>
    <w:rsid w:val="00876272"/>
    <w:rsid w:val="0088522E"/>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40EC"/>
    <w:rsid w:val="0093436E"/>
    <w:rsid w:val="00946093"/>
    <w:rsid w:val="00947D0A"/>
    <w:rsid w:val="00956E5A"/>
    <w:rsid w:val="00980BDB"/>
    <w:rsid w:val="0098165C"/>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D717B"/>
    <w:rsid w:val="009E2AEE"/>
    <w:rsid w:val="009E36CD"/>
    <w:rsid w:val="009E5298"/>
    <w:rsid w:val="009F2723"/>
    <w:rsid w:val="009F44E6"/>
    <w:rsid w:val="009F5529"/>
    <w:rsid w:val="009F7F27"/>
    <w:rsid w:val="00A041C6"/>
    <w:rsid w:val="00A0510B"/>
    <w:rsid w:val="00A0673D"/>
    <w:rsid w:val="00A07C8F"/>
    <w:rsid w:val="00A10D2A"/>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F208F"/>
    <w:rsid w:val="00AF28CC"/>
    <w:rsid w:val="00AF2D9F"/>
    <w:rsid w:val="00AF492B"/>
    <w:rsid w:val="00AF4F4B"/>
    <w:rsid w:val="00AF6428"/>
    <w:rsid w:val="00B05C34"/>
    <w:rsid w:val="00B0642E"/>
    <w:rsid w:val="00B06875"/>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0849"/>
    <w:rsid w:val="00CD23E3"/>
    <w:rsid w:val="00CD31E1"/>
    <w:rsid w:val="00CD3E5F"/>
    <w:rsid w:val="00CD4627"/>
    <w:rsid w:val="00CD7243"/>
    <w:rsid w:val="00D00E58"/>
    <w:rsid w:val="00D048F7"/>
    <w:rsid w:val="00D10120"/>
    <w:rsid w:val="00D111AE"/>
    <w:rsid w:val="00D1190D"/>
    <w:rsid w:val="00D143E8"/>
    <w:rsid w:val="00D213A1"/>
    <w:rsid w:val="00D21E5B"/>
    <w:rsid w:val="00D27D04"/>
    <w:rsid w:val="00D3533F"/>
    <w:rsid w:val="00D37335"/>
    <w:rsid w:val="00D40086"/>
    <w:rsid w:val="00D454DF"/>
    <w:rsid w:val="00D47642"/>
    <w:rsid w:val="00D540ED"/>
    <w:rsid w:val="00D62358"/>
    <w:rsid w:val="00D64B97"/>
    <w:rsid w:val="00D666C0"/>
    <w:rsid w:val="00D66772"/>
    <w:rsid w:val="00D7058C"/>
    <w:rsid w:val="00D70ED8"/>
    <w:rsid w:val="00D839C9"/>
    <w:rsid w:val="00DA2090"/>
    <w:rsid w:val="00DA35FD"/>
    <w:rsid w:val="00DA7705"/>
    <w:rsid w:val="00DA7F2A"/>
    <w:rsid w:val="00DB1B10"/>
    <w:rsid w:val="00DB2AE1"/>
    <w:rsid w:val="00DB4A0E"/>
    <w:rsid w:val="00DB4CCD"/>
    <w:rsid w:val="00DB6E26"/>
    <w:rsid w:val="00DC02C5"/>
    <w:rsid w:val="00DC3027"/>
    <w:rsid w:val="00DC50DC"/>
    <w:rsid w:val="00DD6039"/>
    <w:rsid w:val="00DD60F1"/>
    <w:rsid w:val="00DD6AE4"/>
    <w:rsid w:val="00DD6FC8"/>
    <w:rsid w:val="00DD7E0A"/>
    <w:rsid w:val="00DE3D24"/>
    <w:rsid w:val="00DE4ABE"/>
    <w:rsid w:val="00DE7959"/>
    <w:rsid w:val="00DF32A7"/>
    <w:rsid w:val="00DF59CC"/>
    <w:rsid w:val="00DF7743"/>
    <w:rsid w:val="00E01B8E"/>
    <w:rsid w:val="00E02F5B"/>
    <w:rsid w:val="00E12598"/>
    <w:rsid w:val="00E1261B"/>
    <w:rsid w:val="00E173D3"/>
    <w:rsid w:val="00E21629"/>
    <w:rsid w:val="00E274CA"/>
    <w:rsid w:val="00E30774"/>
    <w:rsid w:val="00E32E55"/>
    <w:rsid w:val="00E409F7"/>
    <w:rsid w:val="00E41107"/>
    <w:rsid w:val="00E45A69"/>
    <w:rsid w:val="00E6760D"/>
    <w:rsid w:val="00E73611"/>
    <w:rsid w:val="00E76DA9"/>
    <w:rsid w:val="00E7761A"/>
    <w:rsid w:val="00E85E66"/>
    <w:rsid w:val="00E868B0"/>
    <w:rsid w:val="00E91A9D"/>
    <w:rsid w:val="00E97AA3"/>
    <w:rsid w:val="00EA07B0"/>
    <w:rsid w:val="00EA2D72"/>
    <w:rsid w:val="00EA42F1"/>
    <w:rsid w:val="00EA4414"/>
    <w:rsid w:val="00EB05F7"/>
    <w:rsid w:val="00EB1624"/>
    <w:rsid w:val="00EB548A"/>
    <w:rsid w:val="00ED3E2C"/>
    <w:rsid w:val="00ED7915"/>
    <w:rsid w:val="00EE0375"/>
    <w:rsid w:val="00EE18AA"/>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79D5"/>
    <w:rsid w:val="00F67CC2"/>
    <w:rsid w:val="00F70A18"/>
    <w:rsid w:val="00F73A18"/>
    <w:rsid w:val="00F83583"/>
    <w:rsid w:val="00F83648"/>
    <w:rsid w:val="00F83F90"/>
    <w:rsid w:val="00F95EAD"/>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D182"/>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5981-49D8-4501-906E-6920EA75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39562</Words>
  <Characters>22551</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Відділ адміністративно-господарського забезпечення, документообігу та контролю виконавської дисципліни</cp:lastModifiedBy>
  <cp:revision>9</cp:revision>
  <dcterms:created xsi:type="dcterms:W3CDTF">2024-02-01T12:29:00Z</dcterms:created>
  <dcterms:modified xsi:type="dcterms:W3CDTF">2024-03-01T09:49:00Z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