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E" w:rsidRPr="00A46C19" w:rsidRDefault="00B555BE" w:rsidP="00B555B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B555BE" w:rsidRPr="00A46C19" w:rsidRDefault="00B555BE" w:rsidP="00B55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5BE" w:rsidRPr="006942EF" w:rsidRDefault="00B555BE" w:rsidP="00B555B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42EF">
        <w:rPr>
          <w:rFonts w:ascii="Times New Roman" w:hAnsi="Times New Roman"/>
          <w:b/>
          <w:sz w:val="24"/>
          <w:szCs w:val="24"/>
          <w:lang w:val="uk-UA"/>
        </w:rPr>
        <w:t xml:space="preserve">Підстави для відмови  в участі в процедурі закупівлі  (пункт 44 Особливостей). </w:t>
      </w:r>
    </w:p>
    <w:p w:rsidR="00B555BE" w:rsidRPr="00C54D61" w:rsidRDefault="00B555BE" w:rsidP="00B555BE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44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Pr="00C54D61"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 w:rsidRPr="00C54D61"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555BE" w:rsidRPr="00C54D61" w:rsidRDefault="00B555BE" w:rsidP="00B555BE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пункту 44 Особливостей), шляхом самостійного декларування відсутності таких підстав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B555BE" w:rsidRPr="00C54D61" w:rsidRDefault="00B555BE" w:rsidP="00B555BE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555BE" w:rsidRPr="00C54D61" w:rsidRDefault="00B555BE" w:rsidP="00B555BE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44 Особливостей.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B555BE" w:rsidRPr="00C54D61" w:rsidTr="007345A3">
        <w:tc>
          <w:tcPr>
            <w:tcW w:w="675" w:type="dxa"/>
            <w:shd w:val="clear" w:color="auto" w:fill="auto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976" w:type="dxa"/>
            <w:shd w:val="clear" w:color="auto" w:fill="auto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  <w:shd w:val="clear" w:color="auto" w:fill="auto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B555BE" w:rsidRPr="00B555BE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ізична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555BE" w:rsidRPr="00C54D61" w:rsidTr="007345A3">
        <w:trPr>
          <w:trHeight w:val="2689"/>
        </w:trPr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ерівник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ендерна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подана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керівником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визнаний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банкрутом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нього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відкрита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ліквідаційна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rPr>
          <w:trHeight w:val="2456"/>
        </w:trPr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rPr>
          <w:trHeight w:val="3753"/>
        </w:trPr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згідно із Законом України “Про санкції”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B555BE" w:rsidRPr="00C54D61" w:rsidTr="007345A3"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єсистемі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555BE" w:rsidRPr="00B555BE" w:rsidTr="007345A3">
        <w:trPr>
          <w:trHeight w:val="70"/>
        </w:trPr>
        <w:tc>
          <w:tcPr>
            <w:tcW w:w="675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1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976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Довідка в довільній формі про відсутність зазначених підстав;</w:t>
            </w:r>
          </w:p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вважає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достатнім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9" w:type="dxa"/>
          </w:tcPr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C54D6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  <w:p w:rsidR="00B555BE" w:rsidRPr="00C54D61" w:rsidRDefault="00B555BE" w:rsidP="007345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55BE" w:rsidRPr="00C54D61" w:rsidRDefault="00B555BE" w:rsidP="007345A3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555BE" w:rsidRPr="00C54D61" w:rsidRDefault="00B555BE" w:rsidP="00B555B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55BE" w:rsidRPr="00B24E63" w:rsidRDefault="00B555BE" w:rsidP="00B555BE">
      <w:pPr>
        <w:rPr>
          <w:lang w:val="uk-UA"/>
        </w:rPr>
      </w:pPr>
    </w:p>
    <w:p w:rsidR="00B555BE" w:rsidRPr="00C01B1A" w:rsidRDefault="00B555BE" w:rsidP="00B555BE">
      <w:pPr>
        <w:rPr>
          <w:lang w:val="uk-UA"/>
        </w:rPr>
      </w:pPr>
    </w:p>
    <w:p w:rsidR="009C23B2" w:rsidRPr="00B555BE" w:rsidRDefault="009C23B2" w:rsidP="00B555BE">
      <w:pPr>
        <w:rPr>
          <w:lang w:val="uk-UA"/>
        </w:rPr>
      </w:pPr>
      <w:bookmarkStart w:id="0" w:name="_GoBack"/>
      <w:bookmarkEnd w:id="0"/>
    </w:p>
    <w:sectPr w:rsidR="009C23B2" w:rsidRPr="00B55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2"/>
    <w:rsid w:val="00447056"/>
    <w:rsid w:val="005A0484"/>
    <w:rsid w:val="008857EF"/>
    <w:rsid w:val="00960B02"/>
    <w:rsid w:val="009C23B2"/>
    <w:rsid w:val="00B555BE"/>
    <w:rsid w:val="00C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A39E-41A7-49D6-AE55-091A54B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3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74365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rsid w:val="00C7436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7436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B555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B555B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6357</Words>
  <Characters>3624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7</cp:revision>
  <dcterms:created xsi:type="dcterms:W3CDTF">2022-11-18T08:35:00Z</dcterms:created>
  <dcterms:modified xsi:type="dcterms:W3CDTF">2023-07-25T12:10:00Z</dcterms:modified>
</cp:coreProperties>
</file>