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FE1B4E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A3417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Аналогічний договір – договір, який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повністю відповідає наступним вимогам:</w:t>
            </w:r>
          </w:p>
          <w:p w14:paraId="167BEE04" w14:textId="768FA501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316E85" w:rsidRPr="00316E85">
              <w:rPr>
                <w:sz w:val="28"/>
                <w:szCs w:val="28"/>
                <w:lang w:val="uk-UA"/>
              </w:rPr>
              <w:t>ДК 021:2015 код 22450000-9 Друкована продукція з елементами захисту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D7451"/>
    <w:rsid w:val="002F30BB"/>
    <w:rsid w:val="00316E85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A3417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44</cp:revision>
  <dcterms:created xsi:type="dcterms:W3CDTF">2019-04-02T12:17:00Z</dcterms:created>
  <dcterms:modified xsi:type="dcterms:W3CDTF">2024-03-22T09:20:00Z</dcterms:modified>
</cp:coreProperties>
</file>