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r>
    </w:p>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hanging="0"/>
        <w:jc w:val="right"/>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tbl>
      <w:tblPr>
        <w:tblStyle w:val="Table1"/>
        <w:tblW w:w="9619" w:type="dxa"/>
        <w:jc w:val="center"/>
        <w:tblInd w:w="0" w:type="dxa"/>
        <w:tblCellMar>
          <w:top w:w="100" w:type="dxa"/>
          <w:left w:w="100" w:type="dxa"/>
          <w:bottom w:w="100" w:type="dxa"/>
          <w:right w:w="100" w:type="dxa"/>
        </w:tblCellMar>
        <w:tblLook w:val="0400"/>
      </w:tblPr>
      <w:tblGrid>
        <w:gridCol w:w="482"/>
        <w:gridCol w:w="2272"/>
        <w:gridCol w:w="6865"/>
      </w:tblGrid>
      <w:tr>
        <w:trPr>
          <w:trHeight w:val="690" w:hRule="atLeast"/>
        </w:trPr>
        <w:tc>
          <w:tcPr>
            <w:tcW w:w="48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trPr>
          <w:trHeight w:val="2255" w:hRule="atLeast"/>
        </w:trPr>
        <w:tc>
          <w:tcPr>
            <w:tcW w:w="48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pPr>
            <w:r>
              <w:rPr>
                <w:rFonts w:eastAsia="Times New Roman" w:cs="Times New Roman" w:ascii="Times New Roman" w:hAnsi="Times New Roman"/>
                <w:b/>
                <w:i/>
                <w:color w:val="000000"/>
                <w:sz w:val="20"/>
                <w:szCs w:val="20"/>
              </w:rPr>
              <w:t xml:space="preserve">Аналогічним вважається договір, за яким учасник постачав </w:t>
            </w:r>
            <w:r>
              <w:rPr>
                <w:rFonts w:eastAsia="Times New Roman" w:cs="Times New Roman" w:ascii="Times New Roman" w:hAnsi="Times New Roman"/>
                <w:b/>
                <w:i/>
                <w:color w:val="000000"/>
                <w:sz w:val="20"/>
                <w:szCs w:val="20"/>
                <w:lang w:val="uk-UA"/>
              </w:rPr>
              <w:t>бензин А-95 ;</w:t>
            </w:r>
            <w:r>
              <w:rPr>
                <w:rFonts w:eastAsia="Times New Roman" w:cs="Times New Roman" w:ascii="Times New Roman" w:hAnsi="Times New Roman"/>
                <w:b/>
                <w:i/>
                <w:color w:val="000000"/>
                <w:sz w:val="20"/>
                <w:szCs w:val="20"/>
              </w:rPr>
              <w:t> </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Normal"/>
              <w:spacing w:lineRule="auto" w:line="240" w:before="0" w:after="0"/>
              <w:jc w:val="both"/>
              <w:rPr>
                <w:rFonts w:ascii="Times New Roman" w:hAnsi="Times New Roman" w:eastAsia="Times New Roman" w:cs="Times New Roman"/>
                <w:color w:val="FF0000"/>
                <w:sz w:val="20"/>
                <w:szCs w:val="20"/>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p>
            <w:pPr>
              <w:pStyle w:val="Normal"/>
              <w:spacing w:lineRule="auto" w:line="240" w:before="0" w:after="0"/>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p>
            <w:pPr>
              <w:pStyle w:val="Normal"/>
              <w:spacing w:lineRule="auto" w:line="240" w:before="0" w:after="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highlight w:val="white"/>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pPr>
        <w:pStyle w:val="Normal"/>
        <w:spacing w:lineRule="auto" w:line="240" w:before="240" w:after="0"/>
        <w:ind w:firstLine="720"/>
        <w:jc w:val="both"/>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40" w:after="0"/>
        <w:ind w:firstLine="720"/>
        <w:jc w:val="both"/>
        <w:rPr>
          <w:rFonts w:ascii="Times New Roman" w:hAnsi="Times New Roman" w:eastAsia="Times New Roman" w:cs="Times New Roman"/>
          <w:i/>
          <w:i/>
          <w:color w:val="000000"/>
          <w:sz w:val="20"/>
          <w:szCs w:val="20"/>
        </w:rPr>
      </w:pPr>
      <w:r>
        <w:rPr/>
      </w:r>
    </w:p>
    <w:p>
      <w:pPr>
        <w:pStyle w:val="Normal"/>
        <w:spacing w:lineRule="auto" w:line="240" w:before="0" w:after="0"/>
        <w:ind w:left="-426" w:firstLine="426"/>
        <w:rPr/>
      </w:pPr>
      <w:r>
        <w:rPr>
          <w:rFonts w:eastAsia="Times New Roman" w:cs="Times New Roman" w:ascii="Times New Roman" w:hAnsi="Times New Roman"/>
          <w:b/>
          <w:sz w:val="20"/>
          <w:szCs w:val="20"/>
        </w:rPr>
        <w:t>2. Підтверджує відсутність підстав, зазначених в пункті 47 Особливостей</w:t>
      </w:r>
    </w:p>
    <w:p>
      <w:pPr>
        <w:pStyle w:val="Normal"/>
        <w:spacing w:lineRule="auto" w:line="240" w:before="0" w:after="0"/>
        <w:ind w:left="-426" w:firstLine="426"/>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left="-426" w:firstLine="567"/>
        <w:jc w:val="both"/>
        <w:rPr/>
      </w:pPr>
      <w:r>
        <w:rPr>
          <w:rFonts w:eastAsia="Times New Roman" w:cs="Times New Roman" w:ascii="Times New Roman" w:hAnsi="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rPr>
        <w:t>шляхом самостійного декларування відсутності таких підстав</w:t>
      </w:r>
      <w:r>
        <w:rPr>
          <w:rFonts w:eastAsia="Times New Roman" w:cs="Times New Roman" w:ascii="Times New Roman" w:hAnsi="Times New Roman"/>
          <w:sz w:val="20"/>
          <w:szCs w:val="20"/>
        </w:rPr>
        <w:t xml:space="preserve"> в електронній системі закупівель під час подання тендерної пропозиції.</w:t>
      </w:r>
    </w:p>
    <w:p>
      <w:pPr>
        <w:pStyle w:val="Normal"/>
        <w:widowControl w:val="false"/>
        <w:spacing w:lineRule="auto" w:line="240" w:before="0" w:after="0"/>
        <w:ind w:left="-426" w:firstLine="567"/>
        <w:jc w:val="both"/>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pStyle w:val="ListParagraph"/>
        <w:numPr>
          <w:ilvl w:val="0"/>
          <w:numId w:val="0"/>
        </w:numPr>
        <w:spacing w:lineRule="auto" w:line="240" w:before="240" w:after="0"/>
        <w:ind w:left="360" w:hanging="0"/>
        <w:contextualSpacing/>
        <w:rPr/>
      </w:pPr>
      <w:r>
        <w:rPr>
          <w:rFonts w:eastAsia="Times New Roman" w:cs="Times New Roman" w:ascii="Times New Roman" w:hAnsi="Times New Roman"/>
          <w:b/>
          <w:color w:val="000000"/>
          <w:sz w:val="20"/>
          <w:szCs w:val="20"/>
          <w:lang w:val="uk-UA"/>
        </w:rPr>
        <w:t>3.</w:t>
      </w:r>
      <w:r>
        <w:rPr>
          <w:rFonts w:eastAsia="Times New Roman" w:cs="Times New Roman" w:ascii="Times New Roman" w:hAnsi="Times New Roman"/>
          <w:b/>
          <w:color w:val="000000"/>
          <w:sz w:val="20"/>
          <w:szCs w:val="20"/>
        </w:rPr>
        <w:t> Перелік документів та інформації  для підтвердження відповідності ПЕРЕМОЖЦЯ вимогам, визначеним у п. 47 Особливостей.</w:t>
      </w:r>
    </w:p>
    <w:p>
      <w:pPr>
        <w:pStyle w:val="ListParagraph"/>
        <w:numPr>
          <w:ilvl w:val="0"/>
          <w:numId w:val="0"/>
        </w:numPr>
        <w:spacing w:lineRule="auto" w:line="240" w:before="240" w:after="0"/>
        <w:ind w:left="360" w:hanging="0"/>
        <w:contextualSpacing/>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before="0" w:after="0"/>
        <w:ind w:left="-284" w:firstLine="851"/>
        <w:jc w:val="both"/>
        <w:rPr/>
      </w:pPr>
      <w:r>
        <w:rPr>
          <w:rFonts w:eastAsia="Times New Roman" w:cs="Times New Roman" w:ascii="Times New Roman" w:hAnsi="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left="-284" w:firstLine="851"/>
        <w:jc w:val="both"/>
        <w:rPr/>
      </w:pPr>
      <w:r>
        <w:rPr>
          <w:rFonts w:eastAsia="Times New Roman" w:cs="Times New Roman"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4"/>
          <w:szCs w:val="20"/>
        </w:rPr>
      </w:pPr>
      <w:r>
        <w:rPr>
          <w:rFonts w:eastAsia="Times New Roman" w:cs="Times New Roman" w:ascii="Times New Roman" w:hAnsi="Times New Roman"/>
          <w:b/>
          <w:sz w:val="24"/>
          <w:szCs w:val="20"/>
        </w:rPr>
      </w:r>
    </w:p>
    <w:p>
      <w:pPr>
        <w:pStyle w:val="ListParagraph"/>
        <w:numPr>
          <w:ilvl w:val="0"/>
          <w:numId w:val="0"/>
        </w:numPr>
        <w:spacing w:lineRule="auto" w:line="240" w:before="0" w:after="0"/>
        <w:ind w:left="360" w:hanging="0"/>
        <w:contextualSpacing/>
        <w:rPr/>
      </w:pPr>
      <w:r>
        <w:rPr>
          <w:rFonts w:eastAsia="Times New Roman" w:cs="Times New Roman" w:ascii="Times New Roman" w:hAnsi="Times New Roman"/>
          <w:b/>
          <w:sz w:val="20"/>
          <w:szCs w:val="20"/>
          <w:lang w:val="uk-UA"/>
        </w:rPr>
        <w:t xml:space="preserve">3.1 </w:t>
      </w:r>
      <w:r>
        <w:rPr>
          <w:rFonts w:eastAsia="Times New Roman" w:cs="Times New Roman" w:ascii="Times New Roman" w:hAnsi="Times New Roman"/>
          <w:b/>
          <w:sz w:val="20"/>
          <w:szCs w:val="20"/>
        </w:rPr>
        <w:t>Документи, які надаються  ПЕРЕМОЖЦЕМ (юридичною особою):</w:t>
      </w:r>
    </w:p>
    <w:p>
      <w:pPr>
        <w:pStyle w:val="Normal"/>
        <w:spacing w:lineRule="auto" w:line="240" w:before="0" w:after="0"/>
        <w:jc w:val="center"/>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r>
    </w:p>
    <w:tbl>
      <w:tblPr>
        <w:tblW w:w="9770" w:type="dxa"/>
        <w:jc w:val="left"/>
        <w:tblInd w:w="-260" w:type="dxa"/>
        <w:tblCellMar>
          <w:top w:w="100" w:type="dxa"/>
          <w:left w:w="100" w:type="dxa"/>
          <w:bottom w:w="100" w:type="dxa"/>
          <w:right w:w="100" w:type="dxa"/>
        </w:tblCellMar>
        <w:tblLook w:firstRow="0" w:noVBand="1" w:lastRow="0" w:firstColumn="0" w:lastColumn="0" w:noHBand="0" w:val="0400"/>
      </w:tblPr>
      <w:tblGrid>
        <w:gridCol w:w="702"/>
        <w:gridCol w:w="4558"/>
        <w:gridCol w:w="4510"/>
      </w:tblGrid>
      <w:tr>
        <w:trPr>
          <w:trHeight w:val="905" w:hRule="atLeast"/>
        </w:trPr>
        <w:tc>
          <w:tcPr>
            <w:tcW w:w="70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w:t>
            </w:r>
          </w:p>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 xml:space="preserve">згідно пункту 47 Особливостей </w:t>
            </w:r>
          </w:p>
        </w:tc>
        <w:tc>
          <w:tcPr>
            <w:tcW w:w="451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47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70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b/>
                <w:sz w:val="20"/>
                <w:szCs w:val="20"/>
              </w:rPr>
              <w:t>(підпункт 3 пункт 47 Особливостей)</w:t>
            </w:r>
          </w:p>
        </w:tc>
        <w:tc>
          <w:tcPr>
            <w:tcW w:w="451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0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b/>
                <w:b/>
                <w:bCs/>
              </w:rPr>
            </w:pPr>
            <w:r>
              <w:rPr>
                <w:rFonts w:eastAsia="Times New Roman" w:cs="Times New Roman" w:ascii="Times New Roman" w:hAnsi="Times New Roman"/>
                <w:b/>
                <w:bCs/>
                <w:sz w:val="20"/>
                <w:szCs w:val="20"/>
              </w:rPr>
              <w:t>(підпункт 6 пункт 47 Особливостей)</w:t>
            </w:r>
          </w:p>
        </w:tc>
        <w:tc>
          <w:tcPr>
            <w:tcW w:w="4510"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jc w:val="both"/>
              <w:rPr/>
            </w:pP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rHeight w:val="2356" w:hRule="atLeast"/>
        </w:trPr>
        <w:tc>
          <w:tcPr>
            <w:tcW w:w="70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3</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ascii="Times New Roman" w:hAnsi="Times New Roman"/>
                <w:b/>
                <w:sz w:val="20"/>
                <w:szCs w:val="20"/>
              </w:rPr>
              <w:t>(підпункт 12 пункт 47 Особливостей)</w:t>
            </w:r>
          </w:p>
        </w:tc>
        <w:tc>
          <w:tcPr>
            <w:tcW w:w="4510"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70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sz w:val="20"/>
                <w:szCs w:val="20"/>
              </w:rPr>
              <w:t>4</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b/>
                <w:sz w:val="20"/>
                <w:szCs w:val="20"/>
              </w:rPr>
              <w:t>(абзац 14 пункт 47 Особливостей)</w:t>
            </w:r>
          </w:p>
        </w:tc>
        <w:tc>
          <w:tcPr>
            <w:tcW w:w="451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240" w:after="0"/>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240" w:after="0"/>
        <w:jc w:val="center"/>
        <w:rPr/>
      </w:pPr>
      <w:r>
        <w:rPr>
          <w:rFonts w:eastAsia="Times New Roman" w:cs="Times New Roman" w:ascii="Times New Roman" w:hAnsi="Times New Roman"/>
          <w:b/>
          <w:sz w:val="20"/>
          <w:szCs w:val="20"/>
          <w:lang w:val="uk-UA"/>
        </w:rPr>
        <w:t xml:space="preserve">3.2 </w:t>
      </w:r>
      <w:r>
        <w:rPr>
          <w:rFonts w:eastAsia="Times New Roman" w:cs="Times New Roman" w:ascii="Times New Roman" w:hAnsi="Times New Roman"/>
          <w:b/>
          <w:sz w:val="20"/>
          <w:szCs w:val="20"/>
        </w:rPr>
        <w:t>Документи, які надаються ПЕРЕМОЖЦЕМ (фізичною особою чи фізичною особою-підприємцем):</w:t>
      </w:r>
    </w:p>
    <w:tbl>
      <w:tblPr>
        <w:tblW w:w="9619" w:type="dxa"/>
        <w:jc w:val="left"/>
        <w:tblInd w:w="-108" w:type="dxa"/>
        <w:tblCellMar>
          <w:top w:w="100" w:type="dxa"/>
          <w:left w:w="100" w:type="dxa"/>
          <w:bottom w:w="100" w:type="dxa"/>
          <w:right w:w="100" w:type="dxa"/>
        </w:tblCellMar>
        <w:tblLook w:firstRow="0" w:noVBand="1" w:lastRow="0" w:firstColumn="0" w:lastColumn="0" w:noHBand="0" w:val="0400"/>
      </w:tblPr>
      <w:tblGrid>
        <w:gridCol w:w="579"/>
        <w:gridCol w:w="4426"/>
        <w:gridCol w:w="4614"/>
      </w:tblGrid>
      <w:tr>
        <w:trPr>
          <w:trHeight w:val="756" w:hRule="atLeast"/>
        </w:trPr>
        <w:tc>
          <w:tcPr>
            <w:tcW w:w="57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w:t>
            </w:r>
          </w:p>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п/п</w:t>
            </w:r>
          </w:p>
        </w:tc>
        <w:tc>
          <w:tcPr>
            <w:tcW w:w="4426"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 xml:space="preserve">згідно пункту 47 Особливостей </w:t>
            </w:r>
          </w:p>
        </w:tc>
        <w:tc>
          <w:tcPr>
            <w:tcW w:w="461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47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57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1</w:t>
            </w:r>
          </w:p>
        </w:tc>
        <w:tc>
          <w:tcPr>
            <w:tcW w:w="4426"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b/>
                <w:sz w:val="20"/>
                <w:szCs w:val="20"/>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7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2</w:t>
            </w:r>
          </w:p>
        </w:tc>
        <w:tc>
          <w:tcPr>
            <w:tcW w:w="4426"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ascii="Times New Roman" w:hAnsi="Times New Roman"/>
                <w:b/>
                <w:sz w:val="20"/>
                <w:szCs w:val="20"/>
              </w:rPr>
              <w:t>(підпункт 5 пункт 47 Особливостей)</w:t>
            </w:r>
          </w:p>
        </w:tc>
        <w:tc>
          <w:tcPr>
            <w:tcW w:w="4614"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trPr>
          <w:trHeight w:val="1713" w:hRule="atLeast"/>
        </w:trPr>
        <w:tc>
          <w:tcPr>
            <w:tcW w:w="57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3</w:t>
            </w:r>
          </w:p>
        </w:tc>
        <w:tc>
          <w:tcPr>
            <w:tcW w:w="4426"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ascii="Times New Roman" w:hAnsi="Times New Roman"/>
                <w:b/>
                <w:sz w:val="20"/>
                <w:szCs w:val="20"/>
              </w:rPr>
              <w:t>(підпункт 12 пункт 47 Особливостей)</w:t>
            </w:r>
          </w:p>
        </w:tc>
        <w:tc>
          <w:tcPr>
            <w:tcW w:w="4614"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57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sz w:val="20"/>
                <w:szCs w:val="20"/>
              </w:rPr>
              <w:t>4</w:t>
            </w:r>
          </w:p>
        </w:tc>
        <w:tc>
          <w:tcPr>
            <w:tcW w:w="4426"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b/>
                <w:sz w:val="20"/>
                <w:szCs w:val="20"/>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before="0" w:after="160"/>
        <w:contextualSpacing/>
        <w:rPr>
          <w:rFonts w:ascii="Times New Roman" w:hAnsi="Times New Roman" w:eastAsia="Times New Roman" w:cs="Times New Roman"/>
          <w:b/>
          <w:b/>
          <w:i/>
          <w:i/>
          <w:color w:val="000000"/>
          <w:sz w:val="20"/>
          <w:szCs w:val="20"/>
          <w:highlight w:val="white"/>
        </w:rPr>
      </w:pPr>
      <w:r>
        <w:rPr>
          <w:rFonts w:eastAsia="Times New Roman" w:cs="Times New Roman" w:ascii="Times New Roman" w:hAnsi="Times New Roman"/>
          <w:b/>
          <w:i/>
          <w:color w:val="000000"/>
          <w:sz w:val="20"/>
          <w:szCs w:val="20"/>
          <w:highlight w:val="white"/>
        </w:rPr>
      </w:r>
    </w:p>
    <w:p>
      <w:pPr>
        <w:pStyle w:val="Normal"/>
        <w:shd w:val="clear" w:fill="FFFFFF"/>
        <w:spacing w:lineRule="auto" w:line="240" w:before="0" w:after="0"/>
        <w:rPr/>
      </w:pPr>
      <w:r>
        <w:rPr>
          <w:rFonts w:eastAsia="Times New Roman" w:cs="Times New Roman" w:ascii="Times New Roman" w:hAnsi="Times New Roman"/>
          <w:sz w:val="20"/>
          <w:szCs w:val="20"/>
        </w:rPr>
        <w:t> </w:t>
      </w:r>
    </w:p>
    <w:p>
      <w:pPr>
        <w:pStyle w:val="Normal"/>
        <w:shd w:val="clear" w:fill="FFFFFF"/>
        <w:spacing w:lineRule="auto" w:line="240" w:before="0" w:after="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p>
    <w:tbl>
      <w:tblPr>
        <w:tblStyle w:val="Table4"/>
        <w:tblW w:w="9574" w:type="dxa"/>
        <w:jc w:val="left"/>
        <w:tblInd w:w="-55" w:type="dxa"/>
        <w:tblCellMar>
          <w:top w:w="100" w:type="dxa"/>
          <w:left w:w="100" w:type="dxa"/>
          <w:bottom w:w="100" w:type="dxa"/>
          <w:right w:w="100" w:type="dxa"/>
        </w:tblCellMar>
        <w:tblLook w:val="0400"/>
      </w:tblPr>
      <w:tblGrid>
        <w:gridCol w:w="360"/>
        <w:gridCol w:w="9213"/>
      </w:tblGrid>
      <w:tr>
        <w:trPr>
          <w:trHeight w:val="124" w:hRule="atLeast"/>
        </w:trPr>
        <w:tc>
          <w:tcPr>
            <w:tcW w:w="9573"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36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rPr/>
            </w:pPr>
            <w:r>
              <w:rPr>
                <w:rFonts w:eastAsia="Times New Roman" w:cs="Times New Roman" w:ascii="Times New Roman" w:hAnsi="Times New Roman"/>
                <w:b/>
                <w:color w:val="000000"/>
                <w:sz w:val="20"/>
                <w:szCs w:val="20"/>
              </w:rPr>
              <w:t>1</w:t>
            </w:r>
          </w:p>
        </w:tc>
        <w:tc>
          <w:tcPr>
            <w:tcW w:w="921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36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pPr>
            <w:r>
              <w:rPr>
                <w:rFonts w:eastAsia="Times New Roman" w:cs="Times New Roman" w:ascii="Times New Roman" w:hAnsi="Times New Roman"/>
                <w:b/>
                <w:color w:val="000000"/>
                <w:sz w:val="20"/>
                <w:szCs w:val="20"/>
              </w:rPr>
              <w:t>2</w:t>
            </w:r>
          </w:p>
        </w:tc>
        <w:tc>
          <w:tcPr>
            <w:tcW w:w="921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right="120" w:hanging="20"/>
              <w:jc w:val="both"/>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6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pPr>
            <w:r>
              <w:rPr>
                <w:rFonts w:eastAsia="Times New Roman" w:cs="Times New Roman" w:ascii="Times New Roman" w:hAnsi="Times New Roman"/>
                <w:b/>
                <w:color w:val="000000"/>
                <w:sz w:val="20"/>
                <w:szCs w:val="20"/>
              </w:rPr>
              <w:t>3</w:t>
            </w:r>
          </w:p>
        </w:tc>
        <w:tc>
          <w:tcPr>
            <w:tcW w:w="921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20" w:right="120" w:hanging="20"/>
              <w:jc w:val="both"/>
              <w:rPr/>
            </w:pPr>
            <w:r>
              <w:rPr>
                <w:rFonts w:eastAsia="Times New Roman" w:cs="Times New Roman"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 xml:space="preserve">батькові засновника та/або кінцевого бенефіціарного власника, адреса його </w:t>
            </w:r>
            <w:r>
              <w:rPr>
                <w:rFonts w:eastAsia="Times New Roman" w:cs="Times New Roman" w:ascii="Times New Roman" w:hAnsi="Times New Roman"/>
                <w:sz w:val="20"/>
                <w:szCs w:val="20"/>
              </w:rPr>
              <w:t>місця проживання</w:t>
            </w:r>
            <w:r>
              <w:rPr>
                <w:rFonts w:eastAsia="Times New Roman" w:cs="Times New Roman" w:ascii="Times New Roman" w:hAnsi="Times New Roman"/>
                <w:color w:val="000000"/>
                <w:sz w:val="20"/>
                <w:szCs w:val="20"/>
              </w:rPr>
              <w:t xml:space="preserve"> та громадянство.</w:t>
            </w:r>
          </w:p>
          <w:p>
            <w:pPr>
              <w:pStyle w:val="Normal"/>
              <w:spacing w:lineRule="auto" w:line="240" w:before="0" w:after="0"/>
              <w:ind w:left="100" w:right="120" w:hanging="20"/>
              <w:jc w:val="both"/>
              <w:rPr/>
            </w:pPr>
            <w:r>
              <w:rPr>
                <w:rFonts w:eastAsia="Times New Roman" w:cs="Times New Roman" w:ascii="Times New Roman" w:hAnsi="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w:t>
            </w:r>
          </w:p>
        </w:tc>
      </w:tr>
      <w:tr>
        <w:trPr>
          <w:trHeight w:val="580" w:hRule="atLeast"/>
        </w:trPr>
        <w:tc>
          <w:tcPr>
            <w:tcW w:w="360"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pPr>
            <w:r>
              <w:rPr>
                <w:b/>
                <w:bCs/>
                <w:lang w:val="en-US"/>
              </w:rPr>
              <w:t>4</w:t>
            </w:r>
          </w:p>
        </w:tc>
        <w:tc>
          <w:tcPr>
            <w:tcW w:w="9213" w:type="dxa"/>
            <w:tcBorders>
              <w:left w:val="single" w:sz="8" w:space="0" w:color="000000"/>
              <w:bottom w:val="single" w:sz="8" w:space="0" w:color="000000"/>
              <w:right w:val="single" w:sz="8" w:space="0" w:color="000000"/>
            </w:tcBorders>
            <w:shd w:fill="auto" w:val="clear"/>
          </w:tcPr>
          <w:p>
            <w:pPr>
              <w:pStyle w:val="Normal"/>
              <w:spacing w:lineRule="auto" w:line="240" w:before="0" w:after="0"/>
              <w:ind w:left="120" w:right="120" w:hanging="20"/>
              <w:jc w:val="both"/>
              <w:rPr/>
            </w:pPr>
            <w:r>
              <w:rPr>
                <w:rFonts w:cs="Times New Roman" w:ascii="Times New Roman" w:hAnsi="Times New Roman"/>
                <w:b w:val="false"/>
                <w:bCs w:val="false"/>
                <w:sz w:val="20"/>
                <w:szCs w:val="20"/>
                <w:lang w:val="uk-UA" w:eastAsia="ar-SA"/>
              </w:rPr>
              <w:t>К</w:t>
            </w:r>
            <w:r>
              <w:rPr>
                <w:rFonts w:cs="Times New Roman" w:ascii="Times New Roman" w:hAnsi="Times New Roman"/>
                <w:b w:val="false"/>
                <w:bCs w:val="false"/>
                <w:sz w:val="20"/>
                <w:szCs w:val="20"/>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tc>
      </w:tr>
      <w:tr>
        <w:trPr>
          <w:trHeight w:val="580" w:hRule="atLeast"/>
        </w:trPr>
        <w:tc>
          <w:tcPr>
            <w:tcW w:w="360"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pPr>
            <w:r>
              <w:rPr>
                <w:b/>
                <w:bCs/>
                <w:lang w:val="uk-UA"/>
              </w:rPr>
              <w:t>5</w:t>
            </w:r>
          </w:p>
        </w:tc>
        <w:tc>
          <w:tcPr>
            <w:tcW w:w="9213" w:type="dxa"/>
            <w:tcBorders>
              <w:left w:val="single" w:sz="8" w:space="0" w:color="000000"/>
              <w:bottom w:val="single" w:sz="8" w:space="0" w:color="000000"/>
              <w:right w:val="single" w:sz="8" w:space="0" w:color="000000"/>
            </w:tcBorders>
            <w:shd w:fill="auto" w:val="clear"/>
          </w:tcPr>
          <w:p>
            <w:pPr>
              <w:pStyle w:val="Normal"/>
              <w:widowControl w:val="false"/>
              <w:spacing w:lineRule="auto" w:line="240" w:before="0" w:after="0"/>
              <w:ind w:left="120" w:right="120" w:hanging="20"/>
              <w:jc w:val="both"/>
              <w:rPr/>
            </w:pPr>
            <w:r>
              <w:rPr>
                <w:rFonts w:cs="Times New Roman" w:ascii="Times New Roman" w:hAnsi="Times New Roman"/>
                <w:b w:val="false"/>
                <w:bCs/>
                <w:sz w:val="20"/>
                <w:szCs w:val="24"/>
              </w:rPr>
              <w:t>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tc>
      </w:tr>
      <w:tr>
        <w:trPr>
          <w:trHeight w:val="580" w:hRule="atLeast"/>
        </w:trPr>
        <w:tc>
          <w:tcPr>
            <w:tcW w:w="360"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pPr>
            <w:r>
              <w:rPr>
                <w:b/>
                <w:bCs/>
                <w:lang w:val="uk-UA"/>
              </w:rPr>
              <w:t>6</w:t>
            </w:r>
          </w:p>
        </w:tc>
        <w:tc>
          <w:tcPr>
            <w:tcW w:w="9213" w:type="dxa"/>
            <w:tcBorders>
              <w:left w:val="single" w:sz="8" w:space="0" w:color="000000"/>
              <w:bottom w:val="single" w:sz="8" w:space="0" w:color="000000"/>
              <w:right w:val="single" w:sz="8" w:space="0" w:color="000000"/>
            </w:tcBorders>
            <w:shd w:fill="auto" w:val="clear"/>
          </w:tcPr>
          <w:p>
            <w:pPr>
              <w:pStyle w:val="ListParagraph"/>
              <w:widowControl w:val="false"/>
              <w:spacing w:lineRule="auto" w:line="240" w:before="0" w:after="0"/>
              <w:ind w:left="0" w:hanging="0"/>
              <w:contextualSpacing/>
              <w:jc w:val="both"/>
              <w:rPr/>
            </w:pPr>
            <w:r>
              <w:rPr>
                <w:rFonts w:cs="Times New Roman" w:ascii="Times New Roman" w:hAnsi="Times New Roman"/>
                <w:b w:val="false"/>
                <w:bCs w:val="false"/>
                <w:sz w:val="20"/>
                <w:szCs w:val="24"/>
              </w:rPr>
              <w:t>Витяг з Єдиного державного реєстру юридичних осіб та фізичних осіб – підприємців (або виписка).</w:t>
            </w:r>
          </w:p>
        </w:tc>
      </w:tr>
      <w:tr>
        <w:trPr>
          <w:trHeight w:val="580" w:hRule="atLeast"/>
        </w:trPr>
        <w:tc>
          <w:tcPr>
            <w:tcW w:w="360"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7</w:t>
            </w:r>
          </w:p>
        </w:tc>
        <w:tc>
          <w:tcPr>
            <w:tcW w:w="9213" w:type="dxa"/>
            <w:tcBorders>
              <w:left w:val="single" w:sz="8" w:space="0" w:color="000000"/>
              <w:bottom w:val="single" w:sz="8" w:space="0" w:color="000000"/>
              <w:right w:val="single" w:sz="8" w:space="0" w:color="000000"/>
            </w:tcBorders>
            <w:shd w:fill="auto" w:val="clear"/>
          </w:tcPr>
          <w:p>
            <w:pPr>
              <w:pStyle w:val="ListParagraph"/>
              <w:widowControl w:val="false"/>
              <w:spacing w:lineRule="auto" w:line="240" w:before="0" w:after="0"/>
              <w:ind w:left="0" w:hanging="0"/>
              <w:contextualSpacing/>
              <w:jc w:val="both"/>
              <w:rPr>
                <w:rFonts w:ascii="Times New Roman" w:hAnsi="Times New Roman"/>
                <w:sz w:val="20"/>
                <w:szCs w:val="20"/>
                <w:lang w:val="uk-UA"/>
              </w:rPr>
            </w:pPr>
            <w:r>
              <w:rPr>
                <w:rFonts w:ascii="Times New Roman" w:hAnsi="Times New Roman"/>
                <w:sz w:val="20"/>
                <w:szCs w:val="20"/>
                <w:lang w:val="uk-UA"/>
              </w:rPr>
              <w:t>Гарантійний лист,складений у довільній формі щодо забезпечення якості товару та своєчасної його поставки замовнику.</w:t>
            </w:r>
          </w:p>
        </w:tc>
      </w:tr>
      <w:tr>
        <w:trPr>
          <w:trHeight w:val="580" w:hRule="atLeast"/>
        </w:trPr>
        <w:tc>
          <w:tcPr>
            <w:tcW w:w="360"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8</w:t>
            </w:r>
          </w:p>
        </w:tc>
        <w:tc>
          <w:tcPr>
            <w:tcW w:w="9213" w:type="dxa"/>
            <w:tcBorders>
              <w:left w:val="single" w:sz="8" w:space="0" w:color="000000"/>
              <w:bottom w:val="single" w:sz="8" w:space="0" w:color="000000"/>
              <w:right w:val="single" w:sz="8" w:space="0" w:color="000000"/>
            </w:tcBorders>
            <w:shd w:fill="auto" w:val="clear"/>
          </w:tcPr>
          <w:p>
            <w:pPr>
              <w:pStyle w:val="ListParagraph"/>
              <w:widowControl w:val="false"/>
              <w:spacing w:lineRule="auto" w:line="240" w:before="0" w:after="0"/>
              <w:ind w:left="0" w:hanging="0"/>
              <w:contextualSpacing/>
              <w:jc w:val="both"/>
              <w:rPr>
                <w:rFonts w:ascii="Times New Roman" w:hAnsi="Times New Roman"/>
                <w:sz w:val="20"/>
                <w:szCs w:val="20"/>
                <w:lang w:val="uk-UA"/>
              </w:rPr>
            </w:pPr>
            <w:r>
              <w:rPr>
                <w:rFonts w:ascii="Times New Roman" w:hAnsi="Times New Roman"/>
                <w:sz w:val="20"/>
                <w:szCs w:val="20"/>
                <w:lang w:val="uk-UA"/>
              </w:rPr>
              <w:t>Завірений учасник</w:t>
            </w:r>
            <w:r>
              <w:rPr>
                <w:rFonts w:ascii="Times New Roman" w:hAnsi="Times New Roman"/>
                <w:sz w:val="20"/>
                <w:szCs w:val="20"/>
                <w:lang w:val="uk-UA"/>
              </w:rPr>
              <w:t>ом</w:t>
            </w:r>
            <w:r>
              <w:rPr>
                <w:rFonts w:ascii="Times New Roman" w:hAnsi="Times New Roman"/>
                <w:sz w:val="20"/>
                <w:szCs w:val="20"/>
                <w:lang w:val="uk-UA"/>
              </w:rPr>
              <w:t xml:space="preserve"> Проєкт договору.</w:t>
            </w:r>
          </w:p>
        </w:tc>
      </w:tr>
      <w:tr>
        <w:trPr>
          <w:trHeight w:val="580" w:hRule="atLeast"/>
        </w:trPr>
        <w:tc>
          <w:tcPr>
            <w:tcW w:w="360"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pPr>
            <w:r>
              <w:rPr>
                <w:b/>
                <w:bCs/>
                <w:lang w:val="uk-UA"/>
              </w:rPr>
              <w:t>9</w:t>
            </w:r>
          </w:p>
        </w:tc>
        <w:tc>
          <w:tcPr>
            <w:tcW w:w="9213" w:type="dxa"/>
            <w:tcBorders>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color w:val="000000"/>
                <w:sz w:val="20"/>
                <w:szCs w:val="20"/>
                <w:highlight w:val="white"/>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Style w:val="ListLabel1"/>
                  <w:rFonts w:eastAsia="Times New Roman" w:cs="Times New Roman" w:ascii="Times New Roman" w:hAnsi="Times New Roman"/>
                  <w:color w:val="000000"/>
                  <w:sz w:val="20"/>
                  <w:szCs w:val="20"/>
                  <w:highlight w:val="white"/>
                </w:rPr>
                <w:t>Наказом № 794/21</w:t>
              </w:r>
            </w:hyperlink>
            <w:r>
              <w:rPr>
                <w:rFonts w:eastAsia="Times New Roman" w:cs="Times New Roman" w:ascii="Times New Roman" w:hAnsi="Times New Roman"/>
                <w:color w:val="000000"/>
                <w:sz w:val="20"/>
                <w:szCs w:val="20"/>
                <w:highlight w:val="white"/>
              </w:rPr>
              <w:t>,  та відповідний наказ про затвердження антикорупційної програми та призначення уповноваженого з її реалізації.</w:t>
            </w:r>
          </w:p>
        </w:tc>
      </w:tr>
    </w:tbl>
    <w:p>
      <w:pPr>
        <w:pStyle w:val="Normal"/>
        <w:spacing w:lineRule="auto" w:line="240" w:before="0" w:after="0"/>
        <w:jc w:val="both"/>
        <w:rPr>
          <w:rFonts w:ascii="Times New Roman" w:hAnsi="Times New Roman" w:eastAsia="Times New Roman" w:cs="Times New Roman"/>
          <w:b/>
          <w:b/>
          <w:i/>
          <w:i/>
          <w:color w:val="000000"/>
          <w:sz w:val="20"/>
          <w:szCs w:val="20"/>
          <w:highlight w:val="white"/>
        </w:rPr>
      </w:pPr>
      <w:r>
        <w:rPr>
          <w:rFonts w:eastAsia="Times New Roman" w:cs="Times New Roman" w:ascii="Times New Roman" w:hAnsi="Times New Roman"/>
          <w:sz w:val="20"/>
          <w:szCs w:val="20"/>
        </w:rPr>
      </w:r>
    </w:p>
    <w:p>
      <w:pPr>
        <w:pStyle w:val="Normal"/>
        <w:shd w:val="clear" w:fill="FFFFFF"/>
        <w:spacing w:lineRule="auto" w:line="240" w:before="0" w:after="0"/>
        <w:jc w:val="righ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before="0" w:after="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ListLabel1">
    <w:name w:val="ListLabel 1"/>
    <w:qFormat/>
    <w:rPr>
      <w:rFonts w:ascii="Times New Roman" w:hAnsi="Times New Roman" w:eastAsia="Times New Roman" w:cs="Times New Roman"/>
      <w:color w:val="4A86E8"/>
      <w:sz w:val="20"/>
      <w:szCs w:val="20"/>
      <w:highlight w:val="yellow"/>
    </w:rPr>
  </w:style>
  <w:style w:type="character" w:styleId="ListLabel2">
    <w:name w:val="ListLabel 2"/>
    <w:qFormat/>
    <w:rPr>
      <w:rFonts w:ascii="Times New Roman" w:hAnsi="Times New Roman" w:eastAsia="Times New Roman" w:cs="Times New Roman"/>
      <w:color w:val="000000"/>
      <w:sz w:val="20"/>
      <w:szCs w:val="20"/>
      <w:u w:val="single"/>
    </w:rPr>
  </w:style>
  <w:style w:type="character" w:styleId="ListLabel3">
    <w:name w:val="ListLabel 3"/>
    <w:qFormat/>
    <w:rPr>
      <w:rFonts w:ascii="Times New Roman" w:hAnsi="Times New Roman" w:eastAsia="Times New Roman" w:cs="Times New Roman"/>
      <w:color w:val="4A86E8"/>
      <w:sz w:val="20"/>
      <w:szCs w:val="20"/>
      <w:highlight w:val="yellow"/>
    </w:rPr>
  </w:style>
  <w:style w:type="character" w:styleId="ListLabel4">
    <w:name w:val="ListLabel 4"/>
    <w:qFormat/>
    <w:rPr>
      <w:rFonts w:ascii="Times New Roman" w:hAnsi="Times New Roman" w:eastAsia="Times New Roman" w:cs="Times New Roman"/>
      <w:color w:val="000000"/>
      <w:sz w:val="20"/>
      <w:szCs w:val="20"/>
      <w:u w:val="single"/>
    </w:rPr>
  </w:style>
  <w:style w:type="character" w:styleId="ListLabel5">
    <w:name w:val="ListLabel 5"/>
    <w:qFormat/>
    <w:rPr>
      <w:rFonts w:ascii="Times New Roman" w:hAnsi="Times New Roman" w:eastAsia="Times New Roman" w:cs="Times New Roman"/>
      <w:color w:val="000000"/>
      <w:sz w:val="20"/>
      <w:szCs w:val="20"/>
      <w:highlight w:val="white"/>
    </w:rPr>
  </w:style>
  <w:style w:type="character" w:styleId="ListLabel6">
    <w:name w:val="ListLabel 6"/>
    <w:qFormat/>
    <w:rPr>
      <w:rFonts w:ascii="Times New Roman" w:hAnsi="Times New Roman" w:eastAsia="Times New Roman" w:cs="Times New Roman"/>
      <w:color w:val="000000"/>
      <w:sz w:val="20"/>
      <w:szCs w:val="20"/>
      <w:highlight w:val="white"/>
    </w:rPr>
  </w:style>
  <w:style w:type="character" w:styleId="ListLabel7">
    <w:name w:val="ListLabel 7"/>
    <w:qFormat/>
    <w:rPr>
      <w:rFonts w:ascii="Times New Roman" w:hAnsi="Times New Roman" w:eastAsia="Times New Roman" w:cs="Times New Roman"/>
      <w:color w:val="000000"/>
      <w:sz w:val="20"/>
      <w:szCs w:val="20"/>
      <w:highlight w:val="white"/>
    </w:rPr>
  </w:style>
  <w:style w:type="character" w:styleId="ListLabel8">
    <w:name w:val="ListLabel 8"/>
    <w:qFormat/>
    <w:rPr>
      <w:rFonts w:ascii="Times New Roman" w:hAnsi="Times New Roman" w:eastAsia="Times New Roman" w:cs="Times New Roman"/>
      <w:color w:val="000000"/>
      <w:sz w:val="20"/>
      <w:szCs w:val="20"/>
      <w:highlight w:val="whit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138</TotalTime>
  <Application>Neat_Office/6.2.8.2$Windows_x86 LibreOffice_project/</Application>
  <Pages>4</Pages>
  <Words>1705</Words>
  <Characters>11601</Characters>
  <CharactersWithSpaces>13266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en-US</dc:language>
  <cp:lastModifiedBy/>
  <dcterms:modified xsi:type="dcterms:W3CDTF">2023-10-13T13:24:31Z</dcterms:modified>
  <cp:revision>11</cp:revision>
  <dc:subject/>
  <dc:title/>
</cp:coreProperties>
</file>